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  <w:tblCellMar>
          <w:top w:w="0" w:type="dxa"/>
          <w:start w:w="0" w:type="dxa"/>
          <w:bottom w:w="0" w:type="dxa"/>
          <w:end w:w="0" w:type="dxa"/>
        </w:tblCellMar>
        <w:jc w:val="center"/>
        <w:tblBorders>
          <w:top w:val="nil" w:sz="0" w:space="0" w:color="C9CED6"/>
          <w:left w:val="nil" w:sz="0" w:space="0" w:color="C9CED6"/>
          <w:bottom w:val="nil" w:sz="0" w:space="0" w:color="C9CED6"/>
          <w:right w:val="nil" w:sz="0" w:space="0" w:color="C9CED6"/>
          <w:insideH w:val="nil" w:sz="0" w:space="0" w:color="C9CED6"/>
          <w:insideV w:val="nil" w:sz="0" w:space="0" w:color="C9CED6"/>
        </w:tblBorders>
      </w:tblPr>
      <w:tblGrid>
        <w:gridCol w:w="3175"/>
        <w:gridCol w:w="3175"/>
        <w:gridCol w:w="3175"/>
      </w:tblGrid>
      <w:tr>
        <w:tc>
          <w:tcPr>
            <w:tcW w:type="dxa" w:w="3175"/>
            <w:shd w:fill="D90012"/>
            <w:tcBorders>
              <w:top w:sz="0" w:val="nil" w:color="FFFFFF"/>
              <w:bottom w:sz="0" w:val="nil" w:color="FFFFFF"/>
              <w:left w:sz="0" w:val="nil" w:color="FFFFFF"/>
              <w:right w:sz="0" w:val="nil" w:color="FFFFFF"/>
            </w:tcBorders>
            <w:vAlign w:val="center"/>
          </w:tcPr>
          <w:p>
            <w:pPr>
              <w:spacing w:after="50" w:before="0" w:line="269" w:lineRule="auto"/>
            </w:pPr>
          </w:p>
        </w:tc>
        <w:tc>
          <w:tcPr>
            <w:tcW w:type="dxa" w:w="3175"/>
            <w:shd w:fill="0033A0"/>
            <w:tcBorders>
              <w:top w:sz="0" w:val="nil" w:color="FFFFFF"/>
              <w:bottom w:sz="0" w:val="nil" w:color="FFFFFF"/>
              <w:left w:sz="0" w:val="nil" w:color="FFFFFF"/>
              <w:right w:sz="0" w:val="nil" w:color="FFFFFF"/>
            </w:tcBorders>
            <w:vAlign w:val="center"/>
          </w:tcPr>
          <w:p>
            <w:pPr>
              <w:spacing w:after="50" w:before="0" w:line="269" w:lineRule="auto"/>
            </w:pPr>
          </w:p>
        </w:tc>
        <w:tc>
          <w:tcPr>
            <w:tcW w:type="dxa" w:w="3175"/>
            <w:shd w:fill="F2A800"/>
            <w:tcBorders>
              <w:top w:sz="0" w:val="nil" w:color="FFFFFF"/>
              <w:bottom w:sz="0" w:val="nil" w:color="FFFFFF"/>
              <w:left w:sz="0" w:val="nil" w:color="FFFFFF"/>
              <w:right w:sz="0" w:val="nil" w:color="FFFFFF"/>
            </w:tcBorders>
            <w:vAlign w:val="center"/>
          </w:tcPr>
          <w:p>
            <w:pPr>
              <w:spacing w:after="50" w:before="0" w:line="269" w:lineRule="auto"/>
            </w:pPr>
          </w:p>
        </w:tc>
      </w:tr>
    </w:tbl>
    <w:p/>
    <w:p>
      <w:pPr>
        <w:pStyle w:val="SmallGray"/>
        <w:jc w:val="center"/>
      </w:pPr>
      <w:r>
        <w:rPr>
          <w:rFonts w:ascii="Arial" w:hAnsi="Arial" w:eastAsia="Arial" w:cs="Arial"/>
        </w:rPr>
        <w:t>ПАКЕТ 01 • РАБОЧАЯ РУССКОЯЗЫЧНАЯ РЕДАКЦИЯ ДЛЯ ГОСУДАРСТВЕННОГО ПРЕДСТАВЛЕНИЯ</w:t>
      </w:r>
    </w:p>
    <w:p>
      <w:pPr>
        <w:pStyle w:val="TitleCustom"/>
        <w:jc w:val="center"/>
      </w:pPr>
      <w:r>
        <w:rPr>
          <w:rFonts w:ascii="Arial" w:hAnsi="Arial" w:eastAsia="Arial" w:cs="Arial"/>
        </w:rPr>
        <w:t>Реестр отдельных пакетов документов</w:t>
      </w:r>
    </w:p>
    <w:p>
      <w:pPr>
        <w:pStyle w:val="SubtitleCustom"/>
        <w:jc w:val="center"/>
      </w:pPr>
      <w:r>
        <w:rPr>
          <w:rFonts w:ascii="Arial" w:hAnsi="Arial" w:eastAsia="Arial" w:cs="Arial"/>
        </w:rPr>
        <w:t>Комплект самостоятельных пакетов для представления инициативы о временном гражданстве, специальной гражданской принадлежности, невыдаче и НКО релокантов в Республике Армения</w:t>
      </w:r>
    </w:p>
    <w:tbl>
      <w:tblPr>
        <w:tblW w:type="auto" w:w="0"/>
        <w:tblLook w:firstColumn="1" w:firstRow="1" w:lastColumn="0" w:lastRow="0" w:noHBand="0" w:noVBand="1" w:val="04A0"/>
        <w:tblCellMar>
          <w:top w:w="85" w:type="dxa"/>
          <w:start w:w="100" w:type="dxa"/>
          <w:bottom w:w="85" w:type="dxa"/>
          <w:end w:w="100" w:type="dxa"/>
        </w:tblCellMar>
        <w:jc w:val="center"/>
        <w:tblBorders>
          <w:top w:val="single" w:sz="6" w:space="0" w:color="BCC4CE"/>
          <w:left w:val="single" w:sz="6" w:space="0" w:color="BCC4CE"/>
          <w:bottom w:val="single" w:sz="6" w:space="0" w:color="BCC4CE"/>
          <w:right w:val="single" w:sz="6" w:space="0" w:color="BCC4CE"/>
          <w:insideH w:val="single" w:sz="6" w:space="0" w:color="BCC4CE"/>
          <w:insideV w:val="single" w:sz="6" w:space="0" w:color="BCC4CE"/>
        </w:tblBorders>
      </w:tblPr>
      <w:tblGrid>
        <w:gridCol w:w="2268"/>
        <w:gridCol w:w="6520"/>
      </w:tblGrid>
      <w:tr>
        <w:tc>
          <w:tcPr>
            <w:tcW w:type="dxa" w:w="4762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  <w:shd w:fill="F1ECE6" w:color="auto" w:val="clear"/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/>
                <w:color w:val="27303A"/>
                <w:sz w:val="22"/>
              </w:rPr>
              <w:t>Дата</w:t>
            </w:r>
          </w:p>
        </w:tc>
        <w:tc>
          <w:tcPr>
            <w:tcW w:type="dxa" w:w="4762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color w:val="222B36"/>
                <w:sz w:val="22"/>
              </w:rPr>
              <w:t>28 марта 2026 года</w:t>
            </w:r>
          </w:p>
        </w:tc>
      </w:tr>
      <w:tr>
        <w:tc>
          <w:tcPr>
            <w:tcW w:type="dxa" w:w="4762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  <w:shd w:fill="F1ECE6" w:color="auto" w:val="clear"/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/>
                <w:color w:val="27303A"/>
                <w:sz w:val="22"/>
              </w:rPr>
              <w:t>Статус</w:t>
            </w:r>
          </w:p>
        </w:tc>
        <w:tc>
          <w:tcPr>
            <w:tcW w:type="dxa" w:w="4762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color w:val="222B36"/>
                <w:sz w:val="22"/>
              </w:rPr>
              <w:t>Подготовленный рабочий пакет для государственной презентации, подачи и последующей армяноязычной юридико-технической адаптации</w:t>
            </w:r>
          </w:p>
        </w:tc>
      </w:tr>
    </w:tbl>
    <w:p/>
    <w:p>
      <w:pPr>
        <w:pStyle w:val="QuoteBox"/>
        <w:shd w:fill="F6F7F9" w:val="clear" w:color="auto"/>
        <w:pBdr>
          <w:left w:val="single" w:sz="10" w:space="6" w:color="C9D0DA"/>
        </w:pBdr>
      </w:pPr>
      <w:r>
        <w:rPr>
          <w:rFonts w:ascii="Arial" w:hAnsi="Arial" w:eastAsia="Arial" w:cs="Arial"/>
          <w:b/>
        </w:rPr>
        <w:t xml:space="preserve">Примечание. </w:t>
      </w:r>
      <w:r>
        <w:rPr>
          <w:rFonts w:ascii="Arial" w:hAnsi="Arial" w:eastAsia="Arial" w:cs="Arial"/>
        </w:rPr>
        <w:t>Все проекты составлены на русском языке как рабочая версия для государственной презентации. Для официального внесения в органы Республики Армения требуется параллельная армяноязычная юридико-техническая редакция и финальная сверка с актуальными редакциями актов в ARLIS.</w:t>
      </w:r>
    </w:p>
    <w:p>
      <w:r>
        <w:rPr>
          <w:rFonts w:ascii="Arial" w:hAnsi="Arial" w:eastAsia="Arial" w:cs="Arial"/>
        </w:rPr>
        <w:br w:type="page"/>
      </w:r>
    </w:p>
    <w:p>
      <w:pPr>
        <w:pStyle w:val="Heading1Custom"/>
      </w:pPr>
      <w:r>
        <w:rPr>
          <w:rFonts w:ascii="Arial" w:hAnsi="Arial" w:eastAsia="Arial" w:cs="Arial"/>
        </w:rPr>
        <w:t>1. Назначение реестра</w:t>
      </w:r>
    </w:p>
    <w:p>
      <w:pPr/>
      <w:r>
        <w:rPr>
          <w:rFonts w:ascii="Arial" w:hAnsi="Arial" w:eastAsia="Arial" w:cs="Arial"/>
        </w:rPr>
        <w:t>Настоящий реестр сводит в единую систему все самостоятельные пакеты документов, подготовленные для государственной презентации инициативы. Он нужен для того, чтобы каждое направление работы можно было подавать, обсуждать и дорабатывать отдельно: конституционный блок, закон о временном гражданстве, самостоятельный закон о специальной гражданской принадлежности, НКО-пакет и пакет официальных обращений.</w:t>
      </w:r>
    </w:p>
    <w:p>
      <w:pPr/>
      <w:r>
        <w:rPr>
          <w:rFonts w:ascii="Arial" w:hAnsi="Arial" w:eastAsia="Arial" w:cs="Arial"/>
        </w:rPr>
        <w:t xml:space="preserve">Ключевой принцип сборки пакетов — </w:t>
      </w:r>
      <w:r>
        <w:rPr>
          <w:rFonts w:ascii="Arial" w:hAnsi="Arial" w:eastAsia="Arial" w:cs="Arial"/>
          <w:b/>
        </w:rPr>
        <w:t>каждый пакет должен быть самодостаточным</w:t>
      </w:r>
      <w:r>
        <w:rPr>
          <w:rFonts w:ascii="Arial" w:hAnsi="Arial" w:eastAsia="Arial" w:cs="Arial"/>
        </w:rPr>
        <w:t>. Внутри каждого документа уже встроены не только проекты актов, но и сопровождающие материалы: цели, мотивы, преимущества, ожидаемый эффект, риски, правовые оговорки, предложения по сопутствующим изменениям и перечень приложений.</w:t>
      </w:r>
    </w:p>
    <w:p>
      <w:pPr>
        <w:pStyle w:val="Heading1Custom"/>
      </w:pPr>
      <w:r>
        <w:rPr>
          <w:rFonts w:ascii="Arial" w:hAnsi="Arial" w:eastAsia="Arial" w:cs="Arial"/>
        </w:rPr>
        <w:t>2. Карта самостоятельных пакетов</w:t>
      </w:r>
    </w:p>
    <w:tbl>
      <w:tblPr>
        <w:tblStyle w:val="TableGrid"/>
        <w:tblW w:type="auto" w:w="0"/>
        <w:tblLayout w:type="fixed"/>
        <w:tblLook w:firstColumn="1" w:firstRow="1" w:lastColumn="0" w:lastRow="0" w:noHBand="0" w:noVBand="1" w:val="04A0"/>
        <w:tblCellMar>
          <w:top w:w="85" w:type="dxa"/>
          <w:start w:w="100" w:type="dxa"/>
          <w:bottom w:w="85" w:type="dxa"/>
          <w:end w:w="100" w:type="dxa"/>
        </w:tblCellMar>
        <w:jc w:val="center"/>
        <w:tblBorders>
          <w:top w:val="single" w:sz="5" w:space="0" w:color="C9CED6"/>
          <w:left w:val="single" w:sz="5" w:space="0" w:color="C9CED6"/>
          <w:bottom w:val="single" w:sz="5" w:space="0" w:color="C9CED6"/>
          <w:right w:val="single" w:sz="5" w:space="0" w:color="C9CED6"/>
          <w:insideH w:val="single" w:sz="5" w:space="0" w:color="C9CED6"/>
          <w:insideV w:val="single" w:sz="5" w:space="0" w:color="C9CED6"/>
        </w:tblBorders>
      </w:tblPr>
      <w:tblGrid>
        <w:gridCol w:w="3175"/>
        <w:gridCol w:w="3175"/>
        <w:gridCol w:w="3175"/>
      </w:tblGrid>
      <w:tr>
        <w:tc>
          <w:tcPr>
            <w:tcW w:type="dxa" w:w="737"/>
            <w:shd w:fill="E9E3DC" w:color="auto" w:val="clear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0" w:before="0" w:line="269" w:lineRule="auto"/>
              <w:jc w:val="center"/>
            </w:pPr>
            <w:r>
              <w:rPr>
                <w:rFonts w:ascii="Arial" w:hAnsi="Arial" w:eastAsia="Arial" w:cs="Arial"/>
                <w:b/>
                <w:color w:val="1F2430"/>
                <w:sz w:val="22"/>
              </w:rPr>
              <w:t>№</w:t>
            </w:r>
          </w:p>
        </w:tc>
        <w:tc>
          <w:tcPr>
            <w:tcW w:type="dxa" w:w="3345"/>
            <w:shd w:fill="E9E3DC" w:color="auto" w:val="clear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0" w:before="0" w:line="269" w:lineRule="auto"/>
              <w:jc w:val="center"/>
            </w:pPr>
            <w:r>
              <w:rPr>
                <w:rFonts w:ascii="Arial" w:hAnsi="Arial" w:eastAsia="Arial" w:cs="Arial"/>
                <w:b/>
                <w:color w:val="1F2430"/>
                <w:sz w:val="22"/>
              </w:rPr>
              <w:t>Пакет</w:t>
            </w:r>
          </w:p>
        </w:tc>
        <w:tc>
          <w:tcPr>
            <w:tcW w:type="dxa" w:w="5159"/>
            <w:shd w:fill="E9E3DC" w:color="auto" w:val="clear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0" w:before="0" w:line="269" w:lineRule="auto"/>
              <w:jc w:val="center"/>
            </w:pPr>
            <w:r>
              <w:rPr>
                <w:rFonts w:ascii="Arial" w:hAnsi="Arial" w:eastAsia="Arial" w:cs="Arial"/>
                <w:b/>
                <w:color w:val="1F2430"/>
                <w:sz w:val="22"/>
              </w:rPr>
              <w:t>Содержание и назначение</w:t>
            </w:r>
          </w:p>
        </w:tc>
      </w:tr>
      <w:tr>
        <w:tc>
          <w:tcPr>
            <w:tcW w:type="dxa" w:w="737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50" w:before="0" w:line="269" w:lineRule="auto"/>
              <w:jc w:val="center"/>
            </w:pPr>
            <w:r>
              <w:rPr>
                <w:rFonts w:ascii="Arial" w:hAnsi="Arial" w:eastAsia="Arial" w:cs="Arial"/>
                <w:color w:val="222B36"/>
                <w:sz w:val="21"/>
              </w:rPr>
              <w:t>01</w:t>
            </w:r>
          </w:p>
        </w:tc>
        <w:tc>
          <w:tcPr>
            <w:tcW w:type="dxa" w:w="3345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color w:val="222B36"/>
                <w:sz w:val="21"/>
              </w:rPr>
              <w:t>Реестр и карта пакетов</w:t>
            </w:r>
          </w:p>
        </w:tc>
        <w:tc>
          <w:tcPr>
            <w:tcW w:type="dxa" w:w="5159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color w:val="222B36"/>
                <w:sz w:val="21"/>
              </w:rPr>
              <w:t>Общая карта реформы, очередность внесения, перечень всех комплектов и общие правовые оговорки.</w:t>
            </w:r>
          </w:p>
        </w:tc>
      </w:tr>
      <w:tr>
        <w:tc>
          <w:tcPr>
            <w:tcW w:type="dxa" w:w="737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50" w:before="0" w:line="269" w:lineRule="auto"/>
              <w:jc w:val="center"/>
            </w:pPr>
            <w:r>
              <w:rPr>
                <w:rFonts w:ascii="Arial" w:hAnsi="Arial" w:eastAsia="Arial" w:cs="Arial"/>
                <w:color w:val="222B36"/>
                <w:sz w:val="21"/>
              </w:rPr>
              <w:t>02</w:t>
            </w:r>
          </w:p>
        </w:tc>
        <w:tc>
          <w:tcPr>
            <w:tcW w:type="dxa" w:w="3345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color w:val="222B36"/>
                <w:sz w:val="21"/>
              </w:rPr>
              <w:t>Конституционный пакет</w:t>
            </w:r>
          </w:p>
        </w:tc>
        <w:tc>
          <w:tcPr>
            <w:tcW w:type="dxa" w:w="5159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color w:val="222B36"/>
                <w:sz w:val="21"/>
              </w:rPr>
              <w:t>Поправки в Конституцию для временного гражданства, специальной гражданской принадлежности и абсолютного запрета выдачи.</w:t>
            </w:r>
          </w:p>
        </w:tc>
      </w:tr>
      <w:tr>
        <w:tc>
          <w:tcPr>
            <w:tcW w:type="dxa" w:w="737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50" w:before="0" w:line="269" w:lineRule="auto"/>
              <w:jc w:val="center"/>
            </w:pPr>
            <w:r>
              <w:rPr>
                <w:rFonts w:ascii="Arial" w:hAnsi="Arial" w:eastAsia="Arial" w:cs="Arial"/>
                <w:color w:val="222B36"/>
                <w:sz w:val="21"/>
              </w:rPr>
              <w:t>03</w:t>
            </w:r>
          </w:p>
        </w:tc>
        <w:tc>
          <w:tcPr>
            <w:tcW w:type="dxa" w:w="3345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color w:val="222B36"/>
                <w:sz w:val="21"/>
              </w:rPr>
              <w:t>Пакет по временному гражданству</w:t>
            </w:r>
          </w:p>
        </w:tc>
        <w:tc>
          <w:tcPr>
            <w:tcW w:type="dxa" w:w="5159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color w:val="222B36"/>
                <w:sz w:val="21"/>
              </w:rPr>
              <w:t>Проект закона, сопутствующие поправки, мотивы, преимущества, риски и модель администрирования.</w:t>
            </w:r>
          </w:p>
        </w:tc>
      </w:tr>
      <w:tr>
        <w:tc>
          <w:tcPr>
            <w:tcW w:type="dxa" w:w="737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50" w:before="0" w:line="269" w:lineRule="auto"/>
              <w:jc w:val="center"/>
            </w:pPr>
            <w:r>
              <w:rPr>
                <w:rFonts w:ascii="Arial" w:hAnsi="Arial" w:eastAsia="Arial" w:cs="Arial"/>
                <w:color w:val="222B36"/>
                <w:sz w:val="21"/>
              </w:rPr>
              <w:t>04</w:t>
            </w:r>
          </w:p>
        </w:tc>
        <w:tc>
          <w:tcPr>
            <w:tcW w:type="dxa" w:w="3345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color w:val="222B36"/>
                <w:sz w:val="21"/>
              </w:rPr>
              <w:t>Пакет по специальной гражданской принадлежности</w:t>
            </w:r>
          </w:p>
        </w:tc>
        <w:tc>
          <w:tcPr>
            <w:tcW w:type="dxa" w:w="5159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color w:val="222B36"/>
                <w:sz w:val="21"/>
              </w:rPr>
              <w:t>Гражданскую принадлежность, максимально приближенный к гражданству по правам, с отдельным нормативным решением.</w:t>
            </w:r>
          </w:p>
        </w:tc>
      </w:tr>
      <w:tr>
        <w:tc>
          <w:tcPr>
            <w:tcW w:type="dxa" w:w="737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50" w:before="0" w:line="269" w:lineRule="auto"/>
              <w:jc w:val="center"/>
            </w:pPr>
            <w:r>
              <w:rPr>
                <w:rFonts w:ascii="Arial" w:hAnsi="Arial" w:eastAsia="Arial" w:cs="Arial"/>
                <w:color w:val="222B36"/>
                <w:sz w:val="21"/>
              </w:rPr>
              <w:t>05</w:t>
            </w:r>
          </w:p>
        </w:tc>
        <w:tc>
          <w:tcPr>
            <w:tcW w:type="dxa" w:w="3345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color w:val="222B36"/>
                <w:sz w:val="21"/>
              </w:rPr>
              <w:t>Пакет НКО релокантов</w:t>
            </w:r>
          </w:p>
        </w:tc>
        <w:tc>
          <w:tcPr>
            <w:tcW w:type="dxa" w:w="5159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color w:val="222B36"/>
                <w:sz w:val="21"/>
              </w:rPr>
              <w:t>Концепция, миссия, цели, проект устава, модель управления, программа работы и регистрационный чек-лист.</w:t>
            </w:r>
          </w:p>
        </w:tc>
      </w:tr>
      <w:tr>
        <w:tc>
          <w:tcPr>
            <w:tcW w:type="dxa" w:w="737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50" w:before="0" w:line="269" w:lineRule="auto"/>
              <w:jc w:val="center"/>
            </w:pPr>
            <w:r>
              <w:rPr>
                <w:rFonts w:ascii="Arial" w:hAnsi="Arial" w:eastAsia="Arial" w:cs="Arial"/>
                <w:color w:val="222B36"/>
                <w:sz w:val="21"/>
              </w:rPr>
              <w:t>06</w:t>
            </w:r>
          </w:p>
        </w:tc>
        <w:tc>
          <w:tcPr>
            <w:tcW w:type="dxa" w:w="3345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color w:val="222B36"/>
                <w:sz w:val="21"/>
              </w:rPr>
              <w:t>Пакет государственных обращений и публичной кампании</w:t>
            </w:r>
          </w:p>
        </w:tc>
        <w:tc>
          <w:tcPr>
            <w:tcW w:type="dxa" w:w="5159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color w:val="222B36"/>
                <w:sz w:val="21"/>
              </w:rPr>
              <w:t>Официальное обращение, открытое письмо, исполнительное резюме, формулы презентации и комплект приложений.</w:t>
            </w:r>
          </w:p>
        </w:tc>
      </w:tr>
    </w:tbl>
    <w:p/>
    <w:p>
      <w:pPr>
        <w:pStyle w:val="Heading1Custom"/>
      </w:pPr>
      <w:r>
        <w:rPr>
          <w:rFonts w:ascii="Arial" w:hAnsi="Arial" w:eastAsia="Arial" w:cs="Arial"/>
        </w:rPr>
        <w:t>3. Общая логика реформы</w:t>
      </w:r>
    </w:p>
    <w:p>
      <w:pPr>
        <w:spacing w:after="60"/>
        <w:ind w:left="340" w:hanging="198"/>
      </w:pPr>
      <w:r>
        <w:rPr>
          <w:rFonts w:ascii="Arial" w:hAnsi="Arial" w:eastAsia="Arial" w:cs="Arial"/>
          <w:b/>
        </w:rPr>
        <w:t xml:space="preserve">• </w:t>
      </w:r>
      <w:r>
        <w:rPr>
          <w:rFonts w:ascii="Arial" w:hAnsi="Arial" w:eastAsia="Arial" w:cs="Arial"/>
          <w:b/>
        </w:rPr>
        <w:t>Основная модель 1 — временное гражданство.</w:t>
      </w:r>
      <w:r>
        <w:rPr>
          <w:rFonts w:ascii="Arial" w:hAnsi="Arial" w:eastAsia="Arial" w:cs="Arial"/>
        </w:rPr>
        <w:t xml:space="preserve"> После не менее чем шести месяцев законного проживания лицо получает временное гражданство сроком на три года, сохраняет связь со своим государством происхождения и в течение этого периода вправе обратиться за полным гражданством Армении.</w:t>
      </w:r>
    </w:p>
    <w:p>
      <w:pPr>
        <w:spacing w:after="60"/>
        <w:ind w:left="340" w:hanging="198"/>
      </w:pPr>
      <w:r>
        <w:rPr>
          <w:rFonts w:ascii="Arial" w:hAnsi="Arial" w:eastAsia="Arial" w:cs="Arial"/>
        </w:rPr>
        <w:t>• Основная модель 2 — специальная гражданская принадлежность. Это самостоятельный и более гибкий статус гражданской принадлежности, максимально приближенный к гражданству по объёму повседневных прав, но конструктивно отделённый от полного гражданства.</w:t>
      </w:r>
    </w:p>
    <w:p>
      <w:pPr>
        <w:spacing w:after="60"/>
        <w:ind w:left="340" w:hanging="198"/>
      </w:pPr>
      <w:r>
        <w:rPr>
          <w:rFonts w:ascii="Arial" w:hAnsi="Arial" w:eastAsia="Arial" w:cs="Arial"/>
        </w:rPr>
        <w:t>• Сквозная конституционная гарантия — невыдача. Предлагается закрепить усиленная гарантия защиты от выдачи граждан, временных граждан и лиц со специальной гражданской принадлежностью иностранным государствам, включая Российскую Федерацию.</w:t>
      </w:r>
    </w:p>
    <w:p>
      <w:pPr>
        <w:spacing w:after="60"/>
        <w:ind w:left="340" w:hanging="198"/>
      </w:pPr>
      <w:r>
        <w:rPr>
          <w:rFonts w:ascii="Arial" w:hAnsi="Arial" w:eastAsia="Arial" w:cs="Arial"/>
          <w:b/>
        </w:rPr>
        <w:t xml:space="preserve">• </w:t>
      </w:r>
      <w:r>
        <w:rPr>
          <w:rFonts w:ascii="Arial" w:hAnsi="Arial" w:eastAsia="Arial" w:cs="Arial"/>
          <w:b/>
        </w:rPr>
        <w:t>Институциональная опора — НКО релокантов.</w:t>
      </w:r>
      <w:r>
        <w:rPr>
          <w:rFonts w:ascii="Arial" w:hAnsi="Arial" w:eastAsia="Arial" w:cs="Arial"/>
        </w:rPr>
        <w:t xml:space="preserve"> Нужна отдельная некоммерческая структура, которая будет выступать заявителем, координатором экспертизы, коммуникационным центром и площадкой сопровождения бенефициаров.</w:t>
      </w:r>
    </w:p>
    <w:p>
      <w:pPr>
        <w:pStyle w:val="Heading1Custom"/>
      </w:pPr>
      <w:r>
        <w:rPr>
          <w:rFonts w:ascii="Arial" w:hAnsi="Arial" w:eastAsia="Arial" w:cs="Arial"/>
        </w:rPr>
        <w:t>4. Зачем нужны два статуса одновременно</w:t>
      </w:r>
    </w:p>
    <w:p>
      <w:pPr>
        <w:spacing w:after="60"/>
        <w:ind w:left="340" w:hanging="198"/>
      </w:pPr>
      <w:r>
        <w:rPr>
          <w:rFonts w:ascii="Arial" w:hAnsi="Arial" w:eastAsia="Arial" w:cs="Arial"/>
          <w:b/>
        </w:rPr>
        <w:t xml:space="preserve">• </w:t>
      </w:r>
      <w:r>
        <w:rPr>
          <w:rFonts w:ascii="Arial" w:hAnsi="Arial" w:eastAsia="Arial" w:cs="Arial"/>
        </w:rPr>
        <w:t>Временное гражданство отвечает исходной политической идее заказчика: максимально близкий к гражданству статус с трёхлетним горизонтом и правом перехода к полному гражданству.</w:t>
      </w:r>
    </w:p>
    <w:p>
      <w:pPr>
        <w:spacing w:after="60"/>
        <w:ind w:left="340" w:hanging="198"/>
      </w:pPr>
      <w:r>
        <w:rPr>
          <w:rFonts w:ascii="Arial" w:hAnsi="Arial" w:eastAsia="Arial" w:cs="Arial"/>
          <w:b/>
        </w:rPr>
        <w:t xml:space="preserve">• </w:t>
      </w:r>
      <w:r>
        <w:rPr>
          <w:rFonts w:ascii="Arial" w:hAnsi="Arial" w:eastAsia="Arial" w:cs="Arial"/>
        </w:rPr>
        <w:t xml:space="preserve">Специальная гражданская принадлежность создаёт </w:t>
      </w:r>
      <w:r>
        <w:rPr>
          <w:rFonts w:ascii="Arial" w:hAnsi="Arial" w:eastAsia="Arial" w:cs="Arial"/>
          <w:b/>
        </w:rPr>
        <w:t>резервный, более проходимый и менее конфликтный</w:t>
      </w:r>
      <w:r>
        <w:rPr>
          <w:rFonts w:ascii="Arial" w:hAnsi="Arial" w:eastAsia="Arial" w:cs="Arial"/>
        </w:rPr>
        <w:t xml:space="preserve"> путь, если государство не захочет немедленно вводить новый вид гражданства или не захочет в первый этап идти на масштабную конституционную реформу.</w:t>
      </w:r>
    </w:p>
    <w:p>
      <w:pPr>
        <w:spacing w:after="60"/>
        <w:ind w:left="340" w:hanging="198"/>
      </w:pPr>
      <w:r>
        <w:rPr>
          <w:rFonts w:ascii="Arial" w:hAnsi="Arial" w:eastAsia="Arial" w:cs="Arial"/>
          <w:b/>
        </w:rPr>
        <w:t xml:space="preserve">• </w:t>
      </w:r>
      <w:r>
        <w:rPr>
          <w:rFonts w:ascii="Arial" w:hAnsi="Arial" w:eastAsia="Arial" w:cs="Arial"/>
        </w:rPr>
        <w:t xml:space="preserve">Одновременная подготовка двух моделей усиливает переговорную позицию: у государства появляется выбор между </w:t>
      </w:r>
      <w:r>
        <w:rPr>
          <w:rFonts w:ascii="Arial" w:hAnsi="Arial" w:eastAsia="Arial" w:cs="Arial"/>
          <w:b/>
        </w:rPr>
        <w:t>более амбициозной моделью</w:t>
      </w:r>
      <w:r>
        <w:rPr>
          <w:rFonts w:ascii="Arial" w:hAnsi="Arial" w:eastAsia="Arial" w:cs="Arial"/>
        </w:rPr>
        <w:t xml:space="preserve"> и </w:t>
      </w:r>
      <w:r>
        <w:rPr>
          <w:rFonts w:ascii="Arial" w:hAnsi="Arial" w:eastAsia="Arial" w:cs="Arial"/>
          <w:b/>
        </w:rPr>
        <w:t>более быстро вводимой моделью</w:t>
      </w:r>
      <w:r>
        <w:rPr>
          <w:rFonts w:ascii="Arial" w:hAnsi="Arial" w:eastAsia="Arial" w:cs="Arial"/>
        </w:rPr>
        <w:t>.</w:t>
      </w:r>
    </w:p>
    <w:p>
      <w:pPr>
        <w:pStyle w:val="Heading1Custom"/>
      </w:pPr>
      <w:r>
        <w:rPr>
          <w:rFonts w:ascii="Arial" w:hAnsi="Arial" w:eastAsia="Arial" w:cs="Arial"/>
        </w:rPr>
        <w:t>5. Общие цели, мотивы и преимущества</w:t>
      </w:r>
    </w:p>
    <w:p>
      <w:pPr>
        <w:pStyle w:val="Heading2Custom"/>
      </w:pPr>
      <w:r>
        <w:rPr>
          <w:rFonts w:ascii="Arial" w:hAnsi="Arial" w:eastAsia="Arial" w:cs="Arial"/>
        </w:rPr>
        <w:t>5.1. Цели</w:t>
      </w:r>
    </w:p>
    <w:p>
      <w:pPr>
        <w:spacing w:after="60"/>
        <w:ind w:left="340" w:hanging="198"/>
      </w:pPr>
      <w:r>
        <w:rPr>
          <w:rFonts w:ascii="Arial" w:hAnsi="Arial" w:eastAsia="Arial" w:cs="Arial"/>
          <w:b/>
        </w:rPr>
        <w:t xml:space="preserve">• </w:t>
      </w:r>
      <w:r>
        <w:rPr>
          <w:rFonts w:ascii="Arial" w:hAnsi="Arial" w:eastAsia="Arial" w:cs="Arial"/>
        </w:rPr>
        <w:t>дать релокантам, уже укоренившимся в Армении, устойчивый правовой статус, не вынуждающий их возвращаться в небезопасную юрисдикцию только ради базовых документов;</w:t>
      </w:r>
    </w:p>
    <w:p>
      <w:pPr>
        <w:spacing w:after="60"/>
        <w:ind w:left="340" w:hanging="198"/>
      </w:pPr>
      <w:r>
        <w:rPr>
          <w:rFonts w:ascii="Arial" w:hAnsi="Arial" w:eastAsia="Arial" w:cs="Arial"/>
          <w:b/>
        </w:rPr>
        <w:t xml:space="preserve">• </w:t>
      </w:r>
      <w:r>
        <w:rPr>
          <w:rFonts w:ascii="Arial" w:hAnsi="Arial" w:eastAsia="Arial" w:cs="Arial"/>
        </w:rPr>
        <w:t>сформировать законный и прозрачный путь от фактической интеграции к более прочной правовой связи с Республикой Армения;</w:t>
      </w:r>
    </w:p>
    <w:p>
      <w:pPr>
        <w:spacing w:after="60"/>
        <w:ind w:left="340" w:hanging="198"/>
      </w:pPr>
      <w:r>
        <w:rPr>
          <w:rFonts w:ascii="Arial" w:hAnsi="Arial" w:eastAsia="Arial" w:cs="Arial"/>
          <w:b/>
        </w:rPr>
        <w:t xml:space="preserve">• </w:t>
      </w:r>
      <w:r>
        <w:rPr>
          <w:rFonts w:ascii="Arial" w:hAnsi="Arial" w:eastAsia="Arial" w:cs="Arial"/>
        </w:rPr>
        <w:t>укрепить репутацию Армении как государства, которое сочетает гуманизм, безопасность и юридическую определённость;</w:t>
      </w:r>
    </w:p>
    <w:p>
      <w:pPr>
        <w:spacing w:after="60"/>
        <w:ind w:left="340" w:hanging="198"/>
      </w:pPr>
      <w:r>
        <w:rPr>
          <w:rFonts w:ascii="Arial" w:hAnsi="Arial" w:eastAsia="Arial" w:cs="Arial"/>
          <w:b/>
        </w:rPr>
        <w:t xml:space="preserve">• </w:t>
      </w:r>
      <w:r>
        <w:rPr>
          <w:rFonts w:ascii="Arial" w:hAnsi="Arial" w:eastAsia="Arial" w:cs="Arial"/>
        </w:rPr>
        <w:t>создать инструмент привлечения и удержания человеческого капитала, семей, предпринимателей, специалистов и налоговых резидентов.</w:t>
      </w:r>
    </w:p>
    <w:p>
      <w:pPr>
        <w:pStyle w:val="Heading2Custom"/>
      </w:pPr>
      <w:r>
        <w:rPr>
          <w:rFonts w:ascii="Arial" w:hAnsi="Arial" w:eastAsia="Arial" w:cs="Arial"/>
        </w:rPr>
        <w:t>5.2. Мотивы</w:t>
      </w:r>
    </w:p>
    <w:p>
      <w:pPr>
        <w:spacing w:after="60"/>
        <w:ind w:left="340" w:hanging="198"/>
      </w:pPr>
      <w:r>
        <w:rPr>
          <w:rFonts w:ascii="Arial" w:hAnsi="Arial" w:eastAsia="Arial" w:cs="Arial"/>
          <w:b/>
        </w:rPr>
        <w:t xml:space="preserve">• </w:t>
      </w:r>
      <w:r>
        <w:rPr>
          <w:rFonts w:ascii="Arial" w:hAnsi="Arial" w:eastAsia="Arial" w:cs="Arial"/>
        </w:rPr>
        <w:t>часть релокантов уже проживает, работает, арендует жильё, учит детей, платит налоги и строит долгосрочные планы в Армении;</w:t>
      </w:r>
    </w:p>
    <w:p>
      <w:pPr>
        <w:spacing w:after="60"/>
        <w:ind w:left="340" w:hanging="198"/>
      </w:pPr>
      <w:r>
        <w:rPr>
          <w:rFonts w:ascii="Arial" w:hAnsi="Arial" w:eastAsia="Arial" w:cs="Arial"/>
          <w:b/>
        </w:rPr>
        <w:t xml:space="preserve">• </w:t>
      </w:r>
      <w:r>
        <w:rPr>
          <w:rFonts w:ascii="Arial" w:hAnsi="Arial" w:eastAsia="Arial" w:cs="Arial"/>
        </w:rPr>
        <w:t xml:space="preserve">существующие режимы пребывания и даже специальные виды проживания не закрывают полностью проблему </w:t>
      </w:r>
      <w:r>
        <w:rPr>
          <w:rFonts w:ascii="Arial" w:hAnsi="Arial" w:eastAsia="Arial" w:cs="Arial"/>
          <w:b/>
        </w:rPr>
        <w:t>долгосрочной защищённости, внутренней правовой связи со страной проживания и устойчивого документационного режима</w:t>
      </w:r>
      <w:r>
        <w:rPr>
          <w:rFonts w:ascii="Arial" w:hAnsi="Arial" w:eastAsia="Arial" w:cs="Arial"/>
        </w:rPr>
        <w:t>;</w:t>
      </w:r>
    </w:p>
    <w:p>
      <w:pPr>
        <w:spacing w:after="60"/>
        <w:ind w:left="340" w:hanging="198"/>
      </w:pPr>
      <w:r>
        <w:rPr>
          <w:rFonts w:ascii="Arial" w:hAnsi="Arial" w:eastAsia="Arial" w:cs="Arial"/>
          <w:b/>
        </w:rPr>
        <w:t xml:space="preserve">• </w:t>
      </w:r>
      <w:r>
        <w:rPr>
          <w:rFonts w:ascii="Arial" w:hAnsi="Arial" w:eastAsia="Arial" w:cs="Arial"/>
        </w:rPr>
        <w:t>у части заявителей есть объективный риск в случае вынужденного возвращения в страну происхождения для решения паспортных и иных документарных вопросов;</w:t>
      </w:r>
    </w:p>
    <w:p>
      <w:pPr>
        <w:spacing w:after="60"/>
        <w:ind w:left="340" w:hanging="198"/>
      </w:pPr>
      <w:r>
        <w:rPr>
          <w:rFonts w:ascii="Arial" w:hAnsi="Arial" w:eastAsia="Arial" w:cs="Arial"/>
          <w:b/>
        </w:rPr>
        <w:t xml:space="preserve">• </w:t>
      </w:r>
      <w:r>
        <w:rPr>
          <w:rFonts w:ascii="Arial" w:hAnsi="Arial" w:eastAsia="Arial" w:cs="Arial"/>
        </w:rPr>
        <w:t>действующее право Армении уже знает инструменты, приближающие статус к гражданству, а значит, реформа не является концептуально чуждой правовой системе.</w:t>
      </w:r>
    </w:p>
    <w:p>
      <w:pPr>
        <w:pStyle w:val="Heading2Custom"/>
      </w:pPr>
      <w:r>
        <w:rPr>
          <w:rFonts w:ascii="Arial" w:hAnsi="Arial" w:eastAsia="Arial" w:cs="Arial"/>
        </w:rPr>
        <w:t>5.3. Преимущества для государства</w:t>
      </w:r>
    </w:p>
    <w:p>
      <w:pPr>
        <w:spacing w:after="60"/>
        <w:ind w:left="340" w:hanging="198"/>
      </w:pPr>
      <w:r>
        <w:rPr>
          <w:rFonts w:ascii="Arial" w:hAnsi="Arial" w:eastAsia="Arial" w:cs="Arial"/>
          <w:b/>
        </w:rPr>
        <w:t xml:space="preserve">• </w:t>
      </w:r>
      <w:r>
        <w:rPr>
          <w:rFonts w:ascii="Arial" w:hAnsi="Arial" w:eastAsia="Arial" w:cs="Arial"/>
        </w:rPr>
        <w:t>рост налоговой базы и потребительской активности;</w:t>
      </w:r>
    </w:p>
    <w:p>
      <w:pPr>
        <w:spacing w:after="60"/>
        <w:ind w:left="340" w:hanging="198"/>
      </w:pPr>
      <w:r>
        <w:rPr>
          <w:rFonts w:ascii="Arial" w:hAnsi="Arial" w:eastAsia="Arial" w:cs="Arial"/>
          <w:b/>
        </w:rPr>
        <w:t xml:space="preserve">• </w:t>
      </w:r>
      <w:r>
        <w:rPr>
          <w:rFonts w:ascii="Arial" w:hAnsi="Arial" w:eastAsia="Arial" w:cs="Arial"/>
        </w:rPr>
        <w:t>закрепление квалифицированного человеческого капитала и предпринимательской инициативы;</w:t>
      </w:r>
    </w:p>
    <w:p>
      <w:pPr>
        <w:spacing w:after="60"/>
        <w:ind w:left="340" w:hanging="198"/>
      </w:pPr>
      <w:r>
        <w:rPr>
          <w:rFonts w:ascii="Arial" w:hAnsi="Arial" w:eastAsia="Arial" w:cs="Arial"/>
          <w:b/>
        </w:rPr>
        <w:t xml:space="preserve">• </w:t>
      </w:r>
      <w:r>
        <w:rPr>
          <w:rFonts w:ascii="Arial" w:hAnsi="Arial" w:eastAsia="Arial" w:cs="Arial"/>
        </w:rPr>
        <w:t>демографический и социальный эффект в виде закрепления семей и детей в армянской юрисдикции;</w:t>
      </w:r>
    </w:p>
    <w:p>
      <w:pPr>
        <w:spacing w:after="60"/>
        <w:ind w:left="340" w:hanging="198"/>
      </w:pPr>
      <w:r>
        <w:rPr>
          <w:rFonts w:ascii="Arial" w:hAnsi="Arial" w:eastAsia="Arial" w:cs="Arial"/>
          <w:b/>
        </w:rPr>
        <w:t xml:space="preserve">• </w:t>
      </w:r>
      <w:r>
        <w:rPr>
          <w:rFonts w:ascii="Arial" w:hAnsi="Arial" w:eastAsia="Arial" w:cs="Arial"/>
        </w:rPr>
        <w:t>повышение международного имиджа Армении как правового и гуманного государства;</w:t>
      </w:r>
    </w:p>
    <w:p>
      <w:pPr>
        <w:spacing w:after="60"/>
        <w:ind w:left="340" w:hanging="198"/>
      </w:pPr>
      <w:r>
        <w:rPr>
          <w:rFonts w:ascii="Arial" w:hAnsi="Arial" w:eastAsia="Arial" w:cs="Arial"/>
          <w:b/>
        </w:rPr>
        <w:t xml:space="preserve">• </w:t>
      </w:r>
      <w:r>
        <w:rPr>
          <w:rFonts w:ascii="Arial" w:hAnsi="Arial" w:eastAsia="Arial" w:cs="Arial"/>
        </w:rPr>
        <w:t>возможность заменить хаотичные и индивидуальные решения на единый прозрачный режим.</w:t>
      </w:r>
    </w:p>
    <w:p>
      <w:pPr>
        <w:pStyle w:val="Heading1Custom"/>
      </w:pPr>
      <w:r>
        <w:rPr>
          <w:rFonts w:ascii="Arial" w:hAnsi="Arial" w:eastAsia="Arial" w:cs="Arial"/>
        </w:rPr>
        <w:t>6. Что должно быть принято в каком порядке</w:t>
      </w:r>
    </w:p>
    <w:p>
      <w:pPr>
        <w:spacing w:after="60"/>
        <w:ind w:left="397" w:hanging="283"/>
      </w:pPr>
      <w:r>
        <w:rPr>
          <w:rFonts w:ascii="Arial" w:hAnsi="Arial" w:eastAsia="Arial" w:cs="Arial"/>
        </w:rPr>
        <w:t>1. Политическое решение о том, поддерживается ли модель временного гражданства как основной путь и модель специальной гражданской принадлежности как самостоятельный либо резервный или параллельный путь.</w:t>
      </w:r>
    </w:p>
    <w:p>
      <w:pPr>
        <w:spacing w:after="60"/>
        <w:ind w:left="397" w:hanging="283"/>
      </w:pPr>
      <w:r>
        <w:rPr>
          <w:rFonts w:ascii="Arial" w:hAnsi="Arial" w:eastAsia="Arial" w:cs="Arial"/>
          <w:b/>
        </w:rPr>
        <w:t xml:space="preserve">2. </w:t>
      </w:r>
      <w:r>
        <w:rPr>
          <w:rFonts w:ascii="Arial" w:hAnsi="Arial" w:eastAsia="Arial" w:cs="Arial"/>
        </w:rPr>
        <w:t>Конституционный пакет — обязателен для абсолютного запрета выдачи и для безрискового введения временного гражданства как особой формы правовой связи с государством.</w:t>
      </w:r>
    </w:p>
    <w:p>
      <w:pPr>
        <w:spacing w:after="60"/>
        <w:ind w:left="397" w:hanging="283"/>
      </w:pPr>
      <w:r>
        <w:rPr>
          <w:rFonts w:ascii="Arial" w:hAnsi="Arial" w:eastAsia="Arial" w:cs="Arial"/>
          <w:b/>
        </w:rPr>
        <w:t xml:space="preserve">3. </w:t>
      </w:r>
      <w:r>
        <w:rPr>
          <w:rFonts w:ascii="Arial" w:hAnsi="Arial" w:eastAsia="Arial" w:cs="Arial"/>
        </w:rPr>
        <w:t>Законодательный пакет по временному гражданству — если государство выбирает амбициозную модель.</w:t>
      </w:r>
    </w:p>
    <w:p>
      <w:pPr>
        <w:spacing w:after="60"/>
        <w:ind w:left="397" w:hanging="283"/>
      </w:pPr>
      <w:r>
        <w:rPr>
          <w:rFonts w:ascii="Arial" w:hAnsi="Arial" w:eastAsia="Arial" w:cs="Arial"/>
        </w:rPr>
        <w:t>4. Законодательный пакет по специальной гражданской принадлежности — если государство выбирает самостоятельную или параллельную модель.</w:t>
      </w:r>
    </w:p>
    <w:p>
      <w:pPr>
        <w:spacing w:after="60"/>
        <w:ind w:left="397" w:hanging="283"/>
      </w:pPr>
      <w:r>
        <w:rPr>
          <w:rFonts w:ascii="Arial" w:hAnsi="Arial" w:eastAsia="Arial" w:cs="Arial"/>
          <w:b/>
        </w:rPr>
        <w:t xml:space="preserve">5. </w:t>
      </w:r>
      <w:r>
        <w:rPr>
          <w:rFonts w:ascii="Arial" w:hAnsi="Arial" w:eastAsia="Arial" w:cs="Arial"/>
        </w:rPr>
        <w:t>Подзаконные акты Правительства Республики Армения: порядок подачи, формы документов, перечень проверок, размер пошлин, регламент межведомственного взаимодействия, документ для подтверждения статуса, возможный travel document или иной документ возврата в Армению.</w:t>
      </w:r>
    </w:p>
    <w:p>
      <w:pPr>
        <w:spacing w:after="60"/>
        <w:ind w:left="397" w:hanging="283"/>
      </w:pPr>
      <w:r>
        <w:rPr>
          <w:rFonts w:ascii="Arial" w:hAnsi="Arial" w:eastAsia="Arial" w:cs="Arial"/>
          <w:b/>
        </w:rPr>
        <w:t xml:space="preserve">6. </w:t>
      </w:r>
      <w:r>
        <w:rPr>
          <w:rFonts w:ascii="Arial" w:hAnsi="Arial" w:eastAsia="Arial" w:cs="Arial"/>
        </w:rPr>
        <w:t>Запуск НКО как институционального представителя и экспертного центра поддержки проекта.</w:t>
      </w:r>
    </w:p>
    <w:p>
      <w:pPr>
        <w:pStyle w:val="Heading1Custom"/>
      </w:pPr>
      <w:r>
        <w:rPr>
          <w:rFonts w:ascii="Arial" w:hAnsi="Arial" w:eastAsia="Arial" w:cs="Arial"/>
        </w:rPr>
        <w:t>7. Общие юридические оговорки</w:t>
      </w:r>
    </w:p>
    <w:p>
      <w:pPr>
        <w:spacing w:after="60"/>
        <w:ind w:left="340" w:hanging="198"/>
      </w:pPr>
      <w:r>
        <w:rPr>
          <w:rFonts w:ascii="Arial" w:hAnsi="Arial" w:eastAsia="Arial" w:cs="Arial"/>
          <w:b/>
        </w:rPr>
        <w:t xml:space="preserve">• </w:t>
      </w:r>
      <w:r>
        <w:rPr>
          <w:rFonts w:ascii="Arial" w:hAnsi="Arial" w:eastAsia="Arial" w:cs="Arial"/>
          <w:b/>
        </w:rPr>
        <w:t>Термин «релокант» не должен использоваться в нормативном тексте как юридическая категория.</w:t>
      </w:r>
      <w:r>
        <w:rPr>
          <w:rFonts w:ascii="Arial" w:hAnsi="Arial" w:eastAsia="Arial" w:cs="Arial"/>
        </w:rPr>
        <w:t xml:space="preserve"> В законах следует использовать нейтральные формулы: «иностранный гражданин» или «лицо без гражданства», законно проживающее в Республике Армения не менее шести месяцев.</w:t>
      </w:r>
    </w:p>
    <w:p>
      <w:pPr>
        <w:spacing w:after="60"/>
        <w:ind w:left="340" w:hanging="198"/>
      </w:pPr>
      <w:r>
        <w:rPr>
          <w:rFonts w:ascii="Arial" w:hAnsi="Arial" w:eastAsia="Arial" w:cs="Arial"/>
          <w:b/>
        </w:rPr>
        <w:t xml:space="preserve">• </w:t>
      </w:r>
      <w:r>
        <w:rPr>
          <w:rFonts w:ascii="Arial" w:hAnsi="Arial" w:eastAsia="Arial" w:cs="Arial"/>
          <w:b/>
        </w:rPr>
        <w:t>Абсолютный запрет выдачи требует конституционного решения.</w:t>
      </w:r>
      <w:r>
        <w:rPr>
          <w:rFonts w:ascii="Arial" w:hAnsi="Arial" w:eastAsia="Arial" w:cs="Arial"/>
        </w:rPr>
        <w:t xml:space="preserve"> Действующая Конституция допускает treaty-исключение для выдачи граждан; эта оговорка должна быть убрана, если политическая цель — абсолютная невыдача.</w:t>
      </w:r>
    </w:p>
    <w:p>
      <w:pPr>
        <w:spacing w:after="60"/>
        <w:ind w:left="340" w:hanging="198"/>
      </w:pPr>
      <w:r>
        <w:rPr>
          <w:rFonts w:ascii="Arial" w:hAnsi="Arial" w:eastAsia="Arial" w:cs="Arial"/>
          <w:b/>
        </w:rPr>
        <w:t xml:space="preserve">• </w:t>
      </w:r>
      <w:r>
        <w:rPr>
          <w:rFonts w:ascii="Arial" w:hAnsi="Arial" w:eastAsia="Arial" w:cs="Arial"/>
          <w:b/>
        </w:rPr>
        <w:t>Армения может гарантировать собственный статус и собственный документ, но не может гарантировать признание такого документа третьими государствами вместо национального паспорта заявителя.</w:t>
      </w:r>
      <w:r>
        <w:rPr>
          <w:rFonts w:ascii="Arial" w:hAnsi="Arial" w:eastAsia="Arial" w:cs="Arial"/>
        </w:rPr>
        <w:t xml:space="preserve"> Это должно быть прямо отражено в пояснительных материалах, чтобы не создавать ложных ожиданий.</w:t>
      </w:r>
    </w:p>
    <w:p>
      <w:pPr>
        <w:spacing w:after="60"/>
        <w:ind w:left="340" w:hanging="198"/>
      </w:pPr>
      <w:r>
        <w:rPr>
          <w:rFonts w:ascii="Arial" w:hAnsi="Arial" w:eastAsia="Arial" w:cs="Arial"/>
          <w:b/>
        </w:rPr>
        <w:t xml:space="preserve">• </w:t>
      </w:r>
      <w:r>
        <w:rPr>
          <w:rFonts w:ascii="Arial" w:hAnsi="Arial" w:eastAsia="Arial" w:cs="Arial"/>
          <w:b/>
        </w:rPr>
        <w:t>Для официального внесения потребуется армяноязычная версия.</w:t>
      </w:r>
      <w:r>
        <w:rPr>
          <w:rFonts w:ascii="Arial" w:hAnsi="Arial" w:eastAsia="Arial" w:cs="Arial"/>
        </w:rPr>
        <w:t xml:space="preserve"> Настоящие русскоязычные пакеты являются рабочими, но уже структурированы так, чтобы их можно было быстро адаптировать для государственного оборота.</w:t>
      </w:r>
    </w:p>
    <w:p>
      <w:pPr>
        <w:pStyle w:val="Heading1Custom"/>
      </w:pPr>
      <w:r>
        <w:rPr>
          <w:rFonts w:ascii="Arial" w:hAnsi="Arial" w:eastAsia="Arial" w:cs="Arial"/>
        </w:rPr>
        <w:t>8. Общий перечень приложений, которые целесообразно подавать вместе с пакетами</w:t>
      </w:r>
    </w:p>
    <w:tbl>
      <w:tblPr>
        <w:tblStyle w:val="TableGrid"/>
        <w:tblW w:type="auto" w:w="0"/>
        <w:tblLayout w:type="fixed"/>
        <w:tblLook w:firstColumn="1" w:firstRow="1" w:lastColumn="0" w:lastRow="0" w:noHBand="0" w:noVBand="1" w:val="04A0"/>
        <w:tblCellMar>
          <w:top w:w="85" w:type="dxa"/>
          <w:start w:w="100" w:type="dxa"/>
          <w:bottom w:w="85" w:type="dxa"/>
          <w:end w:w="100" w:type="dxa"/>
        </w:tblCellMar>
        <w:jc w:val="center"/>
        <w:tblBorders>
          <w:top w:val="single" w:sz="5" w:space="0" w:color="C9CED6"/>
          <w:left w:val="single" w:sz="5" w:space="0" w:color="C9CED6"/>
          <w:bottom w:val="single" w:sz="5" w:space="0" w:color="C9CED6"/>
          <w:right w:val="single" w:sz="5" w:space="0" w:color="C9CED6"/>
          <w:insideH w:val="single" w:sz="5" w:space="0" w:color="C9CED6"/>
          <w:insideV w:val="single" w:sz="5" w:space="0" w:color="C9CED6"/>
        </w:tblBorders>
      </w:tblPr>
      <w:tblGrid>
        <w:gridCol w:w="4762"/>
        <w:gridCol w:w="4762"/>
      </w:tblGrid>
      <w:tr>
        <w:tc>
          <w:tcPr>
            <w:tcW w:type="dxa" w:w="3402"/>
            <w:shd w:fill="F5F7FA" w:color="auto" w:val="clear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50" w:before="0" w:line="269" w:lineRule="auto"/>
              <w:jc w:val="center"/>
            </w:pPr>
            <w:r>
              <w:rPr>
                <w:rFonts w:ascii="Arial" w:hAnsi="Arial" w:eastAsia="Arial" w:cs="Arial"/>
                <w:b/>
                <w:color w:val="27303A"/>
                <w:sz w:val="21"/>
              </w:rPr>
              <w:t>Приложение</w:t>
            </w:r>
          </w:p>
        </w:tc>
        <w:tc>
          <w:tcPr>
            <w:tcW w:type="dxa" w:w="5839"/>
            <w:shd w:fill="ECECEC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50" w:before="0" w:line="269" w:lineRule="auto"/>
              <w:jc w:val="center"/>
            </w:pPr>
            <w:r>
              <w:rPr>
                <w:rFonts w:ascii="Arial" w:hAnsi="Arial" w:eastAsia="Arial" w:cs="Arial"/>
                <w:b/>
              </w:rPr>
              <w:t>Зачем нужно</w:t>
            </w:r>
          </w:p>
        </w:tc>
      </w:tr>
      <w:tr>
        <w:tc>
          <w:tcPr>
            <w:tcW w:type="dxa" w:w="3402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  <w:tcMar>
              <w:top w:w="90" w:type="dxa"/>
              <w:left w:w="90" w:type="dxa"/>
              <w:bottom w:w="90" w:type="dxa"/>
              <w:right w:w="90" w:type="dxa"/>
            </w:tcMar>
            <w:shd w:fill="F5F7FA" w:color="auto" w:val="clear"/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/>
                <w:color w:val="27303A"/>
                <w:sz w:val="21"/>
              </w:rPr>
              <w:t>Сопроводительное письмо</w:t>
            </w:r>
          </w:p>
        </w:tc>
        <w:tc>
          <w:tcPr>
            <w:tcW w:type="dxa" w:w="5839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</w:rPr>
              <w:t>Фиксирует адресата, предмет обращения и перечень прилагаемых материалов.</w:t>
            </w:r>
          </w:p>
        </w:tc>
      </w:tr>
      <w:tr>
        <w:tc>
          <w:tcPr>
            <w:tcW w:type="dxa" w:w="3402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  <w:tcMar>
              <w:top w:w="90" w:type="dxa"/>
              <w:left w:w="90" w:type="dxa"/>
              <w:bottom w:w="90" w:type="dxa"/>
              <w:right w:w="90" w:type="dxa"/>
            </w:tcMar>
            <w:shd w:fill="F5F7FA" w:color="auto" w:val="clear"/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/>
                <w:color w:val="27303A"/>
                <w:sz w:val="21"/>
              </w:rPr>
              <w:t>Пояснительная записка</w:t>
            </w:r>
          </w:p>
        </w:tc>
        <w:tc>
          <w:tcPr>
            <w:tcW w:type="dxa" w:w="5839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</w:rPr>
              <w:t>Объясняет цели, мотивы, преимущества, риски и правовую логику проекта.</w:t>
            </w:r>
          </w:p>
        </w:tc>
      </w:tr>
      <w:tr>
        <w:tc>
          <w:tcPr>
            <w:tcW w:type="dxa" w:w="3402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  <w:tcMar>
              <w:top w:w="90" w:type="dxa"/>
              <w:left w:w="90" w:type="dxa"/>
              <w:bottom w:w="90" w:type="dxa"/>
              <w:right w:w="90" w:type="dxa"/>
            </w:tcMar>
            <w:shd w:fill="F5F7FA" w:color="auto" w:val="clear"/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/>
                <w:color w:val="27303A"/>
                <w:sz w:val="21"/>
              </w:rPr>
              <w:t>Сравнительная таблица</w:t>
            </w:r>
          </w:p>
        </w:tc>
        <w:tc>
          <w:tcPr>
            <w:tcW w:type="dxa" w:w="5839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</w:rPr>
              <w:t>Показывает, какие нормы предлагается изменить и какой эффект это даёт.</w:t>
            </w:r>
          </w:p>
        </w:tc>
      </w:tr>
      <w:tr>
        <w:tc>
          <w:tcPr>
            <w:tcW w:type="dxa" w:w="3402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  <w:tcMar>
              <w:top w:w="90" w:type="dxa"/>
              <w:left w:w="90" w:type="dxa"/>
              <w:bottom w:w="90" w:type="dxa"/>
              <w:right w:w="90" w:type="dxa"/>
            </w:tcMar>
            <w:shd w:fill="F5F7FA" w:color="auto" w:val="clear"/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/>
                <w:color w:val="27303A"/>
                <w:sz w:val="21"/>
              </w:rPr>
              <w:t>Краткое исполнительное резюме</w:t>
            </w:r>
          </w:p>
        </w:tc>
        <w:tc>
          <w:tcPr>
            <w:tcW w:type="dxa" w:w="5839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</w:rPr>
              <w:t>Позволяет руководству быстро понять сущность инициативы без чтения полного пакета.</w:t>
            </w:r>
          </w:p>
        </w:tc>
      </w:tr>
      <w:tr>
        <w:tc>
          <w:tcPr>
            <w:tcW w:type="dxa" w:w="3402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  <w:tcMar>
              <w:top w:w="90" w:type="dxa"/>
              <w:left w:w="90" w:type="dxa"/>
              <w:bottom w:w="90" w:type="dxa"/>
              <w:right w:w="90" w:type="dxa"/>
            </w:tcMar>
            <w:shd w:fill="F5F7FA" w:color="auto" w:val="clear"/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/>
                <w:color w:val="27303A"/>
                <w:sz w:val="21"/>
              </w:rPr>
              <w:t>Дорожная карта реализации</w:t>
            </w:r>
          </w:p>
        </w:tc>
        <w:tc>
          <w:tcPr>
            <w:tcW w:type="dxa" w:w="5839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</w:rPr>
              <w:t>Показывает, какие законы, подзаконные акты и процедуры нужно принять после одобрения.</w:t>
            </w:r>
          </w:p>
        </w:tc>
      </w:tr>
      <w:tr>
        <w:tc>
          <w:tcPr>
            <w:tcW w:type="dxa" w:w="3402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  <w:tcMar>
              <w:top w:w="90" w:type="dxa"/>
              <w:left w:w="90" w:type="dxa"/>
              <w:bottom w:w="90" w:type="dxa"/>
              <w:right w:w="90" w:type="dxa"/>
            </w:tcMar>
            <w:shd w:fill="F5F7FA" w:color="auto" w:val="clear"/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/>
                <w:color w:val="27303A"/>
                <w:sz w:val="21"/>
              </w:rPr>
              <w:t>Лист официальных правовых опор</w:t>
            </w:r>
          </w:p>
        </w:tc>
        <w:tc>
          <w:tcPr>
            <w:tcW w:type="dxa" w:w="5839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</w:rPr>
              <w:t>Фиксирует нормативные источники и снижает риск спора о фактической базе предложения.</w:t>
            </w:r>
          </w:p>
        </w:tc>
      </w:tr>
    </w:tbl>
    <w:p/>
    <w:p>
      <w:pPr>
        <w:pStyle w:val="QuoteBox"/>
        <w:shd w:fill="F6F7F9" w:val="clear" w:color="auto"/>
        <w:pBdr>
          <w:left w:val="single" w:sz="10" w:space="6" w:color="C9D0DA"/>
        </w:pBdr>
      </w:pPr>
      <w:r>
        <w:rPr>
          <w:rFonts w:ascii="Arial" w:hAnsi="Arial" w:eastAsia="Arial" w:cs="Arial"/>
          <w:b/>
        </w:rPr>
        <w:t xml:space="preserve">Базовые официальные опоры пакета: </w:t>
      </w:r>
      <w:r>
        <w:rPr>
          <w:rFonts w:ascii="Arial" w:hAnsi="Arial" w:eastAsia="Arial" w:cs="Arial"/>
        </w:rPr>
        <w:t>Конституция Республики Армения (ARLIS, статьи 40, 47, 48, 55, 202); Закон Республики Армения «О гражданстве Республики Армения» (ARLIS, статьи 5, 9, 13, 26); Официальная страница МИД Армении о гражданстве; Официальная страница МИД Армении о special residency status; Официальная страница Правительства Республики Армения о структуре Правительства; Официальная страница Президента Республики Армения</w:t>
      </w:r>
    </w:p>
    <w:p>
      <w:pPr>
        <w:pStyle w:val="Heading1Custom"/>
      </w:pPr>
      <w:r>
        <w:rPr>
          <w:rFonts w:ascii="Arial" w:hAnsi="Arial" w:eastAsia="Arial" w:cs="Arial"/>
        </w:rPr>
        <w:t>9. Что именно получает Армения от всего пакета реформы</w:t>
      </w:r>
    </w:p>
    <w:p>
      <w:pPr/>
      <w:r>
        <w:rPr>
          <w:rFonts w:ascii="Arial" w:hAnsi="Arial" w:eastAsia="Arial" w:cs="Arial"/>
        </w:rPr>
        <w:t>• закрепление в Армении квалифицированных специалистов, предпринимателей, работников цифровой экономики, преподавателей, студентов и членов их семей;</w:t>
      </w:r>
    </w:p>
    <w:p>
      <w:pPr/>
      <w:r>
        <w:rPr>
          <w:rFonts w:ascii="Arial" w:hAnsi="Arial" w:eastAsia="Arial" w:cs="Arial"/>
        </w:rPr>
        <w:t>• рост налоговой базы за счёт официальной занятости, предпринимательства, потребления, аренды жилья, банковской активности и долгосрочного присутствия семей;</w:t>
      </w:r>
    </w:p>
    <w:p>
      <w:pPr/>
      <w:r>
        <w:rPr>
          <w:rFonts w:ascii="Arial" w:hAnsi="Arial" w:eastAsia="Arial" w:cs="Arial"/>
        </w:rPr>
        <w:t>• снижение административной нагрузки за счёт перехода от разрозненных индивидуальных решений к единому правовому режиму с понятными критериями и процедурами;</w:t>
      </w:r>
    </w:p>
    <w:p>
      <w:pPr/>
      <w:r>
        <w:rPr>
          <w:rFonts w:ascii="Arial" w:hAnsi="Arial" w:eastAsia="Arial" w:cs="Arial"/>
        </w:rPr>
        <w:t>• укрепление демографической устойчивости через закрепление семей, детей, школьников и долгосрочных домохозяйств в армянской юрисдикции;</w:t>
      </w:r>
    </w:p>
    <w:p>
      <w:pPr/>
      <w:r>
        <w:rPr>
          <w:rFonts w:ascii="Arial" w:hAnsi="Arial" w:eastAsia="Arial" w:cs="Arial"/>
        </w:rPr>
        <w:t>• повышение инвестиционной и деловой предсказуемости: чем устойчивее статус человека, тем выше вероятность регистрации бизнеса, долгосрочных контрактов и реинвестирования доходов в Армении;</w:t>
      </w:r>
    </w:p>
    <w:p>
      <w:pPr/>
      <w:r>
        <w:rPr>
          <w:rFonts w:ascii="Arial" w:hAnsi="Arial" w:eastAsia="Arial" w:cs="Arial"/>
        </w:rPr>
        <w:t>• укрепление международной репутации Армении как правового, гуманного и конкурентоспособного государства Южного Кавказа;</w:t>
      </w:r>
    </w:p>
    <w:p>
      <w:pPr/>
      <w:r>
        <w:rPr>
          <w:rFonts w:ascii="Arial" w:hAnsi="Arial" w:eastAsia="Arial" w:cs="Arial"/>
        </w:rPr>
        <w:t>• создание управляемого и лояльного пути от фактической интеграции к полному гражданству вместо пребывания людей в серой зоне.</w:t>
      </w:r>
    </w:p>
    <w:p>
      <w:pPr>
        <w:pStyle w:val="Heading1Custom"/>
      </w:pPr>
      <w:r>
        <w:rPr>
          <w:rFonts w:ascii="Arial" w:hAnsi="Arial" w:eastAsia="Arial" w:cs="Arial"/>
        </w:rPr>
        <w:t>10. Временное гражданство и гражданская принадлежность: выбор одного статуса или параллельный запуск</w:t>
      </w:r>
    </w:p>
    <w:p>
      <w:pPr/>
      <w:r>
        <w:rPr>
          <w:rFonts w:ascii="Arial" w:hAnsi="Arial" w:eastAsia="Arial" w:cs="Arial"/>
        </w:rPr>
        <w:t>1. модель выбора одного статуса: государство вправе рассмотреть временное гражданство и гражданскую принадлежность как два самостоятельных проекта и принять только один из них;</w:t>
      </w:r>
    </w:p>
    <w:p>
      <w:pPr/>
      <w:r>
        <w:rPr>
          <w:rFonts w:ascii="Arial" w:hAnsi="Arial" w:eastAsia="Arial" w:cs="Arial"/>
        </w:rPr>
        <w:t>2. модель параллельного запуска: государство вправе одновременно принять оба статуса и предоставить заявителю или уполномоченному органу выбор наилучшего маршрута в зависимости от степени интеграции, семейной ситуации и публичного интереса;</w:t>
      </w:r>
    </w:p>
    <w:p>
      <w:pPr/>
      <w:r>
        <w:rPr>
          <w:rFonts w:ascii="Arial" w:hAnsi="Arial" w:eastAsia="Arial" w:cs="Arial"/>
        </w:rPr>
        <w:t>3. модель поэтапного введения: гражданская принадлежность запускается первой как более быстрый законодательный трек, а временное гражданство вводится после прохождения конституционного маршрута;</w:t>
      </w:r>
    </w:p>
    <w:p>
      <w:pPr/>
      <w:r>
        <w:rPr>
          <w:rFonts w:ascii="Arial" w:hAnsi="Arial" w:eastAsia="Arial" w:cs="Arial"/>
        </w:rPr>
        <w:t>4. в нормативных текстах целесообразно прямо закрепить, что наличие гражданской принадлежности не препятствует последующему обращению за временным гражданством или полным гражданством, если лицо соответствует установленным законом критериям.</w:t>
      </w:r>
    </w:p>
    <w:p>
      <w:pPr>
        <w:pStyle w:val="Heading1Custom"/>
      </w:pPr>
      <w:r>
        <w:rPr>
          <w:rFonts w:ascii="Arial" w:hAnsi="Arial" w:eastAsia="Arial" w:cs="Arial"/>
        </w:rPr>
        <w:t>11. Раздел общественной поддержки реформы и личной поддержки Премьер-министра Республики Армения</w:t>
      </w:r>
    </w:p>
    <w:p>
      <w:pPr/>
      <w:r>
        <w:rPr>
          <w:rFonts w:ascii="Arial" w:hAnsi="Arial" w:eastAsia="Arial" w:cs="Arial"/>
        </w:rPr>
        <w:t>Сообщество релокантов, поддерживающее реформу, выражает личную политическую поддержку Премьер-министру Республики Армения Николу Пашиняну как руководителю, при котором Армения сохранила открытость к реформам, институциональному диалогу и правовой интеграции новых жителей.</w:t>
      </w:r>
    </w:p>
    <w:p>
      <w:pPr/>
      <w:r>
        <w:rPr>
          <w:rFonts w:ascii="Arial" w:hAnsi="Arial" w:eastAsia="Arial" w:cs="Arial"/>
        </w:rPr>
        <w:t>Сообщество заявляет о желании двигаться вместе с Николом Пашиняном и его политической командой в следующих электоральных циклах и связывать с этим курсом своё долгосрочное будущее в Армении. До приобретения предусмотренных законом избирательных прав такая поддержка выражается в общественной, экспертной, публичной и организационной плоскости; после получения соответствующего статуса и прав — также в политическом процессе в пределах, допускаемых Конституцией и законами Республики Армения.</w:t>
      </w:r>
    </w:p>
    <w:p>
      <w:pPr>
        <w:pStyle w:val="QuoteBox"/>
        <w:shd w:fill="F6F7F9" w:val="clear" w:color="auto"/>
        <w:pBdr>
          <w:left w:val="single" w:sz="10" w:space="6" w:color="C9D0DA"/>
        </w:pBdr>
      </w:pPr>
      <w:r>
        <w:rPr>
          <w:rFonts w:ascii="Arial" w:hAnsi="Arial" w:eastAsia="Arial" w:cs="Arial"/>
        </w:rPr>
        <w:t>Готовая формула для публичного использования: «Сообщество релокантов поддерживает Премьер-министра Никола Пашиняна и его реформаторский курс, связывает своё долгосрочное будущее с Арменией и по мере получения предусмотренных законом прав готово двигаться вместе с ним и его командой в будущих выборах».</w:t>
      </w:r>
    </w:p>
    <w:p>
      <w:r>
        <w:rPr>
          <w:rFonts w:ascii="Arial" w:hAnsi="Arial" w:eastAsia="Arial" w:cs="Arial"/>
        </w:rPr>
        <w:br w:type="page"/>
      </w:r>
    </w:p>
    <w:tbl>
      <w:tblPr>
        <w:tblW w:type="auto" w:w="0"/>
        <w:tblLook w:firstColumn="1" w:firstRow="1" w:lastColumn="0" w:lastRow="0" w:noHBand="0" w:noVBand="1" w:val="04A0"/>
        <w:tblCellMar>
          <w:top w:w="0" w:type="dxa"/>
          <w:start w:w="0" w:type="dxa"/>
          <w:bottom w:w="0" w:type="dxa"/>
          <w:end w:w="0" w:type="dxa"/>
        </w:tblCellMar>
        <w:jc w:val="center"/>
        <w:tblBorders>
          <w:top w:val="nil" w:sz="0" w:space="0" w:color="C9CED6"/>
          <w:left w:val="nil" w:sz="0" w:space="0" w:color="C9CED6"/>
          <w:bottom w:val="nil" w:sz="0" w:space="0" w:color="C9CED6"/>
          <w:right w:val="nil" w:sz="0" w:space="0" w:color="C9CED6"/>
          <w:insideH w:val="nil" w:sz="0" w:space="0" w:color="C9CED6"/>
          <w:insideV w:val="nil" w:sz="0" w:space="0" w:color="C9CED6"/>
        </w:tblBorders>
      </w:tblPr>
      <w:tblGrid>
        <w:gridCol w:w="3175"/>
        <w:gridCol w:w="3175"/>
        <w:gridCol w:w="3175"/>
      </w:tblGrid>
      <w:tr>
        <w:tc>
          <w:tcPr>
            <w:tcW w:type="dxa" w:w="3175"/>
            <w:shd w:fill="D90012"/>
            <w:tcBorders>
              <w:top w:sz="0" w:val="nil" w:color="FFFFFF"/>
              <w:bottom w:sz="0" w:val="nil" w:color="FFFFFF"/>
              <w:left w:sz="0" w:val="nil" w:color="FFFFFF"/>
              <w:right w:sz="0" w:val="nil" w:color="FFFFFF"/>
            </w:tcBorders>
            <w:vAlign w:val="center"/>
          </w:tcPr>
          <w:p>
            <w:pPr>
              <w:spacing w:after="50" w:before="0" w:line="269" w:lineRule="auto"/>
            </w:pPr>
          </w:p>
        </w:tc>
        <w:tc>
          <w:tcPr>
            <w:tcW w:type="dxa" w:w="3175"/>
            <w:shd w:fill="0033A0"/>
            <w:tcBorders>
              <w:top w:sz="0" w:val="nil" w:color="FFFFFF"/>
              <w:bottom w:sz="0" w:val="nil" w:color="FFFFFF"/>
              <w:left w:sz="0" w:val="nil" w:color="FFFFFF"/>
              <w:right w:sz="0" w:val="nil" w:color="FFFFFF"/>
            </w:tcBorders>
            <w:vAlign w:val="center"/>
          </w:tcPr>
          <w:p>
            <w:pPr>
              <w:spacing w:after="50" w:before="0" w:line="269" w:lineRule="auto"/>
            </w:pPr>
          </w:p>
        </w:tc>
        <w:tc>
          <w:tcPr>
            <w:tcW w:type="dxa" w:w="3175"/>
            <w:shd w:fill="F2A800"/>
            <w:tcBorders>
              <w:top w:sz="0" w:val="nil" w:color="FFFFFF"/>
              <w:bottom w:sz="0" w:val="nil" w:color="FFFFFF"/>
              <w:left w:sz="0" w:val="nil" w:color="FFFFFF"/>
              <w:right w:sz="0" w:val="nil" w:color="FFFFFF"/>
            </w:tcBorders>
            <w:vAlign w:val="center"/>
          </w:tcPr>
          <w:p>
            <w:pPr>
              <w:spacing w:after="50" w:before="0" w:line="269" w:lineRule="auto"/>
            </w:pPr>
          </w:p>
        </w:tc>
      </w:tr>
    </w:tbl>
    <w:p/>
    <w:p>
      <w:pPr>
        <w:pStyle w:val="SmallGray"/>
        <w:jc w:val="center"/>
      </w:pPr>
      <w:r>
        <w:rPr>
          <w:rFonts w:ascii="Arial" w:hAnsi="Arial" w:eastAsia="Arial" w:cs="Arial"/>
        </w:rPr>
        <w:t>ПАКЕТ 02 • РАБОЧАЯ РУССКОЯЗЫЧНАЯ РЕДАКЦИЯ ДЛЯ ГОСУДАРСТВЕННОГО ПРЕДСТАВЛЕНИЯ</w:t>
      </w:r>
    </w:p>
    <w:p>
      <w:pPr>
        <w:pStyle w:val="TitleCustom"/>
        <w:jc w:val="center"/>
      </w:pPr>
      <w:r>
        <w:rPr>
          <w:rFonts w:ascii="Arial" w:hAnsi="Arial" w:eastAsia="Arial" w:cs="Arial"/>
        </w:rPr>
        <w:t>Конституционный пакет реформы</w:t>
      </w:r>
    </w:p>
    <w:p>
      <w:pPr>
        <w:pStyle w:val="SubtitleCustom"/>
        <w:jc w:val="center"/>
      </w:pPr>
      <w:r>
        <w:rPr>
          <w:rFonts w:ascii="Arial" w:hAnsi="Arial" w:eastAsia="Arial" w:cs="Arial"/>
        </w:rPr>
        <w:t>Поправки в Конституцию Республики Армения для введения временного гражданства, специальной гражданской принадлежности и абсолютного запрета выдачи защищённых категорий лиц иностранным государствам</w:t>
      </w:r>
    </w:p>
    <w:tbl>
      <w:tblPr>
        <w:tblW w:type="auto" w:w="0"/>
        <w:tblLook w:firstColumn="1" w:firstRow="1" w:lastColumn="0" w:lastRow="0" w:noHBand="0" w:noVBand="1" w:val="04A0"/>
        <w:tblCellMar>
          <w:top w:w="85" w:type="dxa"/>
          <w:start w:w="100" w:type="dxa"/>
          <w:bottom w:w="85" w:type="dxa"/>
          <w:end w:w="100" w:type="dxa"/>
        </w:tblCellMar>
        <w:jc w:val="center"/>
        <w:tblBorders>
          <w:top w:val="single" w:sz="5" w:space="0" w:color="C9CED6"/>
          <w:left w:val="single" w:sz="5" w:space="0" w:color="C9CED6"/>
          <w:bottom w:val="single" w:sz="5" w:space="0" w:color="C9CED6"/>
          <w:right w:val="single" w:sz="5" w:space="0" w:color="C9CED6"/>
          <w:insideH w:val="single" w:sz="5" w:space="0" w:color="C9CED6"/>
          <w:insideV w:val="single" w:sz="5" w:space="0" w:color="C9CED6"/>
        </w:tblBorders>
      </w:tblPr>
      <w:tblGrid>
        <w:gridCol w:w="2268"/>
        <w:gridCol w:w="6520"/>
      </w:tblGrid>
      <w:tr>
        <w:tc>
          <w:tcPr>
            <w:tcW w:type="dxa" w:w="4762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  <w:shd w:fill="F5F7FA" w:color="auto" w:val="clear"/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/>
                <w:color w:val="27303A"/>
                <w:sz w:val="21"/>
              </w:rPr>
              <w:t>Дата</w:t>
            </w:r>
          </w:p>
        </w:tc>
        <w:tc>
          <w:tcPr>
            <w:tcW w:type="dxa" w:w="4762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</w:rPr>
              <w:t>28 марта 2026 года</w:t>
            </w:r>
          </w:p>
        </w:tc>
      </w:tr>
      <w:tr>
        <w:tc>
          <w:tcPr>
            <w:tcW w:type="dxa" w:w="4762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  <w:shd w:fill="F5F7FA" w:color="auto" w:val="clear"/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/>
                <w:color w:val="27303A"/>
                <w:sz w:val="21"/>
              </w:rPr>
              <w:t>Статус</w:t>
            </w:r>
          </w:p>
        </w:tc>
        <w:tc>
          <w:tcPr>
            <w:tcW w:type="dxa" w:w="4762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</w:rPr>
              <w:t>Подготовленный рабочий пакет для государственной презентации, подачи и последующей армяноязычной юридико-технической адаптации</w:t>
            </w:r>
          </w:p>
        </w:tc>
      </w:tr>
    </w:tbl>
    <w:p/>
    <w:p>
      <w:pPr>
        <w:pStyle w:val="QuoteBox"/>
        <w:shd w:fill="F6F7F9" w:val="clear" w:color="auto"/>
        <w:pBdr>
          <w:left w:val="single" w:sz="10" w:space="6" w:color="C9D0DA"/>
        </w:pBdr>
      </w:pPr>
      <w:r>
        <w:rPr>
          <w:rFonts w:ascii="Arial" w:hAnsi="Arial" w:eastAsia="Arial" w:cs="Arial"/>
          <w:b/>
        </w:rPr>
        <w:t xml:space="preserve">Примечание. </w:t>
      </w:r>
      <w:r>
        <w:rPr>
          <w:rFonts w:ascii="Arial" w:hAnsi="Arial" w:eastAsia="Arial" w:cs="Arial"/>
        </w:rPr>
        <w:t>Все проекты составлены на русском языке как рабочая версия для государственной презентации. Для официального внесения в органы Республики Армения требуется параллельная армяноязычная юридико-техническая редакция и финальная сверка с актуальными редакциями актов в ARLIS.</w:t>
      </w:r>
    </w:p>
    <w:p>
      <w:r>
        <w:rPr>
          <w:rFonts w:ascii="Arial" w:hAnsi="Arial" w:eastAsia="Arial" w:cs="Arial"/>
        </w:rPr>
        <w:br w:type="page"/>
      </w:r>
    </w:p>
    <w:p>
      <w:pPr>
        <w:pStyle w:val="Heading1Custom"/>
      </w:pPr>
      <w:r>
        <w:rPr>
          <w:rFonts w:ascii="Arial" w:hAnsi="Arial" w:eastAsia="Arial" w:cs="Arial"/>
        </w:rPr>
        <w:t>1. Назначение пакета</w:t>
      </w:r>
    </w:p>
    <w:p>
      <w:pPr/>
      <w:r>
        <w:rPr>
          <w:rFonts w:ascii="Arial" w:hAnsi="Arial" w:eastAsia="Arial" w:cs="Arial"/>
        </w:rPr>
        <w:t>Этот пакет нужен для той части инициативы, которую невозможно провести обычным законом без риска конституционного конфликта. В него вынесены только те решения, которые требуют прямого изменения текста Конституции Республики Армения: 1) создание конституционной опоры для временного гражданства и специальной гражданской принадлежности; 2) точечное исключение из избирательных прав для временного гражданства и специальной гражданской принадлежности; 3) усиленная гарантия защиты от выдачи граждан, временных граждан и лиц со специальной гражданской принадлежностью иностранным государствам.</w:t>
      </w:r>
    </w:p>
    <w:p>
      <w:pPr>
        <w:pStyle w:val="Heading1Custom"/>
      </w:pPr>
      <w:r>
        <w:rPr>
          <w:rFonts w:ascii="Arial" w:hAnsi="Arial" w:eastAsia="Arial" w:cs="Arial"/>
        </w:rPr>
        <w:t>2. Состав пакета</w:t>
      </w:r>
    </w:p>
    <w:tbl>
      <w:tblPr>
        <w:tblStyle w:val="TableGrid"/>
        <w:tblW w:type="auto" w:w="0"/>
        <w:tblLayout w:type="fixed"/>
        <w:tblLook w:firstColumn="1" w:firstRow="1" w:lastColumn="0" w:lastRow="0" w:noHBand="0" w:noVBand="1" w:val="04A0"/>
        <w:tblCellMar>
          <w:top w:w="85" w:type="dxa"/>
          <w:start w:w="100" w:type="dxa"/>
          <w:bottom w:w="85" w:type="dxa"/>
          <w:end w:w="100" w:type="dxa"/>
        </w:tblCellMar>
        <w:jc w:val="center"/>
        <w:tblBorders>
          <w:top w:val="single" w:sz="5" w:space="0" w:color="C9CED6"/>
          <w:left w:val="single" w:sz="5" w:space="0" w:color="C9CED6"/>
          <w:bottom w:val="single" w:sz="5" w:space="0" w:color="C9CED6"/>
          <w:right w:val="single" w:sz="5" w:space="0" w:color="C9CED6"/>
          <w:insideH w:val="single" w:sz="5" w:space="0" w:color="C9CED6"/>
          <w:insideV w:val="single" w:sz="5" w:space="0" w:color="C9CED6"/>
        </w:tblBorders>
      </w:tblPr>
      <w:tblGrid>
        <w:gridCol w:w="4762"/>
        <w:gridCol w:w="4762"/>
      </w:tblGrid>
      <w:tr>
        <w:tc>
          <w:tcPr>
            <w:tcW w:type="dxa" w:w="3005"/>
            <w:shd w:fill="F5F7FA" w:color="auto" w:val="clear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50" w:before="0" w:line="269" w:lineRule="auto"/>
              <w:jc w:val="center"/>
            </w:pPr>
            <w:r>
              <w:rPr>
                <w:rFonts w:ascii="Arial" w:hAnsi="Arial" w:eastAsia="Arial" w:cs="Arial"/>
                <w:b/>
                <w:color w:val="27303A"/>
                <w:sz w:val="21"/>
              </w:rPr>
              <w:t>Раздел пакета</w:t>
            </w:r>
          </w:p>
        </w:tc>
        <w:tc>
          <w:tcPr>
            <w:tcW w:type="dxa" w:w="6236"/>
            <w:shd w:fill="EEE7E0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50" w:before="0" w:line="269" w:lineRule="auto"/>
              <w:jc w:val="center"/>
            </w:pPr>
            <w:r>
              <w:rPr>
                <w:rFonts w:ascii="Arial" w:hAnsi="Arial" w:eastAsia="Arial" w:cs="Arial"/>
                <w:b/>
              </w:rPr>
              <w:t>Содержание</w:t>
            </w:r>
          </w:p>
        </w:tc>
      </w:tr>
      <w:tr>
        <w:tc>
          <w:tcPr>
            <w:tcW w:type="dxa" w:w="3005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  <w:tcMar>
              <w:top w:w="90" w:type="dxa"/>
              <w:left w:w="90" w:type="dxa"/>
              <w:bottom w:w="90" w:type="dxa"/>
              <w:right w:w="90" w:type="dxa"/>
            </w:tcMar>
            <w:shd w:fill="F5F7FA" w:color="auto" w:val="clear"/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/>
                <w:color w:val="27303A"/>
                <w:sz w:val="21"/>
              </w:rPr>
              <w:t>Проект конституционного закона</w:t>
            </w:r>
          </w:p>
        </w:tc>
        <w:tc>
          <w:tcPr>
            <w:tcW w:type="dxa" w:w="6236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</w:rPr>
              <w:t>Новая редакция и дополнения к Конституции Республики Армения.</w:t>
            </w:r>
          </w:p>
        </w:tc>
      </w:tr>
      <w:tr>
        <w:tc>
          <w:tcPr>
            <w:tcW w:type="dxa" w:w="3005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  <w:tcMar>
              <w:top w:w="90" w:type="dxa"/>
              <w:left w:w="90" w:type="dxa"/>
              <w:bottom w:w="90" w:type="dxa"/>
              <w:right w:w="90" w:type="dxa"/>
            </w:tcMar>
            <w:shd w:fill="F5F7FA" w:color="auto" w:val="clear"/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/>
                <w:color w:val="27303A"/>
                <w:sz w:val="21"/>
              </w:rPr>
              <w:t>Пояснительная записка</w:t>
            </w:r>
          </w:p>
        </w:tc>
        <w:tc>
          <w:tcPr>
            <w:tcW w:type="dxa" w:w="6236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</w:rPr>
              <w:t>Цели, мотивы, преимущества, конституционная необходимость и пределы реформы.</w:t>
            </w:r>
          </w:p>
        </w:tc>
      </w:tr>
      <w:tr>
        <w:tc>
          <w:tcPr>
            <w:tcW w:type="dxa" w:w="3005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  <w:tcMar>
              <w:top w:w="90" w:type="dxa"/>
              <w:left w:w="90" w:type="dxa"/>
              <w:bottom w:w="90" w:type="dxa"/>
              <w:right w:w="90" w:type="dxa"/>
            </w:tcMar>
            <w:shd w:fill="F5F7FA" w:color="auto" w:val="clear"/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/>
                <w:color w:val="27303A"/>
                <w:sz w:val="21"/>
              </w:rPr>
              <w:t>Сравнительная таблица</w:t>
            </w:r>
          </w:p>
        </w:tc>
        <w:tc>
          <w:tcPr>
            <w:tcW w:type="dxa" w:w="6236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</w:rPr>
              <w:t>Карта изменений по конкретным конституционным статьям.</w:t>
            </w:r>
          </w:p>
        </w:tc>
      </w:tr>
      <w:tr>
        <w:tc>
          <w:tcPr>
            <w:tcW w:type="dxa" w:w="3005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  <w:tcMar>
              <w:top w:w="90" w:type="dxa"/>
              <w:left w:w="90" w:type="dxa"/>
              <w:bottom w:w="90" w:type="dxa"/>
              <w:right w:w="90" w:type="dxa"/>
            </w:tcMar>
            <w:shd w:fill="F5F7FA" w:color="auto" w:val="clear"/>
          </w:tcPr>
          <w:p>
            <w:pPr>
              <w:spacing w:after="50" w:before="0" w:line="269" w:lineRule="auto"/>
              <w:jc w:val="center"/>
            </w:pPr>
            <w:r>
              <w:rPr>
                <w:rFonts w:ascii="Arial" w:hAnsi="Arial" w:eastAsia="Arial" w:cs="Arial"/>
                <w:b/>
                <w:color w:val="27303A"/>
                <w:sz w:val="21"/>
              </w:rPr>
              <w:t>Риск-мемо</w:t>
            </w:r>
          </w:p>
        </w:tc>
        <w:tc>
          <w:tcPr>
            <w:tcW w:type="dxa" w:w="6236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</w:rPr>
              <w:t>Правовые и политические риски, в том числе связь с международными обязательствами.</w:t>
            </w:r>
          </w:p>
        </w:tc>
      </w:tr>
      <w:tr>
        <w:tc>
          <w:tcPr>
            <w:tcW w:type="dxa" w:w="3005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  <w:tcMar>
              <w:top w:w="90" w:type="dxa"/>
              <w:left w:w="90" w:type="dxa"/>
              <w:bottom w:w="90" w:type="dxa"/>
              <w:right w:w="90" w:type="dxa"/>
            </w:tcMar>
            <w:shd w:fill="F5F7FA" w:color="auto" w:val="clear"/>
          </w:tcPr>
          <w:p>
            <w:pPr>
              <w:spacing w:after="50" w:before="0" w:line="269" w:lineRule="auto"/>
              <w:jc w:val="center"/>
            </w:pPr>
            <w:r>
              <w:rPr>
                <w:rFonts w:ascii="Arial" w:hAnsi="Arial" w:eastAsia="Arial" w:cs="Arial"/>
                <w:b/>
                <w:color w:val="27303A"/>
                <w:sz w:val="21"/>
              </w:rPr>
              <w:t>Дорожная карта</w:t>
            </w:r>
          </w:p>
        </w:tc>
        <w:tc>
          <w:tcPr>
            <w:tcW w:type="dxa" w:w="6236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</w:rPr>
              <w:t>Порядок внесения, референдум, последующие законы и подзаконные акты.</w:t>
            </w:r>
          </w:p>
        </w:tc>
      </w:tr>
    </w:tbl>
    <w:p/>
    <w:p>
      <w:pPr>
        <w:pStyle w:val="Heading1Custom"/>
      </w:pPr>
      <w:r>
        <w:rPr>
          <w:rFonts w:ascii="Arial" w:hAnsi="Arial" w:eastAsia="Arial" w:cs="Arial"/>
        </w:rPr>
        <w:t>3. Цели, мотивы и преимущества конституционного уровня</w:t>
      </w:r>
    </w:p>
    <w:p>
      <w:pPr>
        <w:pStyle w:val="Heading2Custom"/>
      </w:pPr>
      <w:r>
        <w:rPr>
          <w:rFonts w:ascii="Arial" w:hAnsi="Arial" w:eastAsia="Arial" w:cs="Arial"/>
        </w:rPr>
        <w:t>3.1. Цели</w:t>
      </w:r>
    </w:p>
    <w:p>
      <w:pPr>
        <w:spacing w:after="60"/>
        <w:ind w:left="340" w:hanging="198"/>
      </w:pPr>
      <w:r>
        <w:rPr>
          <w:rFonts w:ascii="Arial" w:hAnsi="Arial" w:eastAsia="Arial" w:cs="Arial"/>
          <w:b/>
        </w:rPr>
        <w:t xml:space="preserve">• </w:t>
      </w:r>
      <w:r>
        <w:rPr>
          <w:rFonts w:ascii="Arial" w:hAnsi="Arial" w:eastAsia="Arial" w:cs="Arial"/>
        </w:rPr>
        <w:t>создать безусловную конституционную основу для новой формы правовой связи лица с Республикой Армения;</w:t>
      </w:r>
    </w:p>
    <w:p>
      <w:pPr>
        <w:spacing w:after="60"/>
        <w:ind w:left="340" w:hanging="198"/>
      </w:pPr>
      <w:r>
        <w:rPr>
          <w:rFonts w:ascii="Arial" w:hAnsi="Arial" w:eastAsia="Arial" w:cs="Arial"/>
          <w:b/>
        </w:rPr>
        <w:t xml:space="preserve">• </w:t>
      </w:r>
      <w:r>
        <w:rPr>
          <w:rFonts w:ascii="Arial" w:hAnsi="Arial" w:eastAsia="Arial" w:cs="Arial"/>
        </w:rPr>
        <w:t xml:space="preserve">закрепить </w:t>
      </w:r>
      <w:r>
        <w:rPr>
          <w:rFonts w:ascii="Arial" w:hAnsi="Arial" w:eastAsia="Arial" w:cs="Arial"/>
          <w:b/>
        </w:rPr>
        <w:t>абсолютную невыдачу</w:t>
      </w:r>
      <w:r>
        <w:rPr>
          <w:rFonts w:ascii="Arial" w:hAnsi="Arial" w:eastAsia="Arial" w:cs="Arial"/>
        </w:rPr>
        <w:t xml:space="preserve"> защищённых категорий лиц иностранным государствам, без treaty-исключений;</w:t>
      </w:r>
    </w:p>
    <w:p>
      <w:pPr>
        <w:spacing w:after="60"/>
        <w:ind w:left="340" w:hanging="198"/>
      </w:pPr>
      <w:r>
        <w:rPr>
          <w:rFonts w:ascii="Arial" w:hAnsi="Arial" w:eastAsia="Arial" w:cs="Arial"/>
          <w:b/>
        </w:rPr>
        <w:t xml:space="preserve">• </w:t>
      </w:r>
      <w:r>
        <w:rPr>
          <w:rFonts w:ascii="Arial" w:hAnsi="Arial" w:eastAsia="Arial" w:cs="Arial"/>
        </w:rPr>
        <w:t>развести по конституционному уровню два режима: почти гражданский статус и ограничение на участие в выборах и референдумах;</w:t>
      </w:r>
    </w:p>
    <w:p>
      <w:pPr>
        <w:spacing w:after="60"/>
        <w:ind w:left="340" w:hanging="198"/>
      </w:pPr>
      <w:r>
        <w:rPr>
          <w:rFonts w:ascii="Arial" w:hAnsi="Arial" w:eastAsia="Arial" w:cs="Arial"/>
          <w:b/>
        </w:rPr>
        <w:t xml:space="preserve">• </w:t>
      </w:r>
      <w:r>
        <w:rPr>
          <w:rFonts w:ascii="Arial" w:hAnsi="Arial" w:eastAsia="Arial" w:cs="Arial"/>
        </w:rPr>
        <w:t>обеспечить устойчивость будущего закона от конституционных жалоб и обвинений в противоречии базовым правам.</w:t>
      </w:r>
    </w:p>
    <w:p>
      <w:pPr>
        <w:pStyle w:val="Heading2Custom"/>
      </w:pPr>
      <w:r>
        <w:rPr>
          <w:rFonts w:ascii="Arial" w:hAnsi="Arial" w:eastAsia="Arial" w:cs="Arial"/>
        </w:rPr>
        <w:t>3.2. Мотивы</w:t>
      </w:r>
    </w:p>
    <w:p>
      <w:pPr>
        <w:spacing w:after="60"/>
        <w:ind w:left="340" w:hanging="198"/>
      </w:pPr>
      <w:r>
        <w:rPr>
          <w:rFonts w:ascii="Arial" w:hAnsi="Arial" w:eastAsia="Arial" w:cs="Arial"/>
          <w:b/>
        </w:rPr>
        <w:t xml:space="preserve">• </w:t>
      </w:r>
      <w:r>
        <w:rPr>
          <w:rFonts w:ascii="Arial" w:hAnsi="Arial" w:eastAsia="Arial" w:cs="Arial"/>
        </w:rPr>
        <w:t>если временное гражданство вводится как новый вид гражданства или квазигражданской связи, простой закон может оказаться недостаточным без прямого конституционного разрешения;</w:t>
      </w:r>
    </w:p>
    <w:p>
      <w:pPr>
        <w:spacing w:after="60"/>
        <w:ind w:left="340" w:hanging="198"/>
      </w:pPr>
      <w:r>
        <w:rPr>
          <w:rFonts w:ascii="Arial" w:hAnsi="Arial" w:eastAsia="Arial" w:cs="Arial"/>
          <w:b/>
        </w:rPr>
        <w:t xml:space="preserve">• </w:t>
      </w:r>
      <w:r>
        <w:rPr>
          <w:rFonts w:ascii="Arial" w:hAnsi="Arial" w:eastAsia="Arial" w:cs="Arial"/>
        </w:rPr>
        <w:t>действующая Конституция связывает избирательные права с гражданством, а в части выдачи граждан содержит исключение в пользу международных договоров;</w:t>
      </w:r>
    </w:p>
    <w:p>
      <w:pPr>
        <w:spacing w:after="60"/>
        <w:ind w:left="340" w:hanging="198"/>
      </w:pPr>
      <w:r>
        <w:rPr>
          <w:rFonts w:ascii="Arial" w:hAnsi="Arial" w:eastAsia="Arial" w:cs="Arial"/>
        </w:rPr>
        <w:t>• без конституционной поправки государство не сможет надёжно закрепить требуемый заказчиком усиленная гарантия защиты от выдачи, в том числе по экстрадиционным запросам Российской Федерации или иных государств.</w:t>
      </w:r>
    </w:p>
    <w:p>
      <w:pPr>
        <w:pStyle w:val="Heading2Custom"/>
      </w:pPr>
      <w:r>
        <w:rPr>
          <w:rFonts w:ascii="Arial" w:hAnsi="Arial" w:eastAsia="Arial" w:cs="Arial"/>
        </w:rPr>
        <w:t>3.3. Преимущества</w:t>
      </w:r>
    </w:p>
    <w:p>
      <w:pPr>
        <w:spacing w:after="60"/>
        <w:ind w:left="340" w:hanging="198"/>
      </w:pPr>
      <w:r>
        <w:rPr>
          <w:rFonts w:ascii="Arial" w:hAnsi="Arial" w:eastAsia="Arial" w:cs="Arial"/>
          <w:b/>
        </w:rPr>
        <w:t xml:space="preserve">• </w:t>
      </w:r>
      <w:r>
        <w:rPr>
          <w:rFonts w:ascii="Arial" w:hAnsi="Arial" w:eastAsia="Arial" w:cs="Arial"/>
        </w:rPr>
        <w:t>минимизация риска признания будущих законов неконституционными;</w:t>
      </w:r>
    </w:p>
    <w:p>
      <w:pPr>
        <w:spacing w:after="60"/>
        <w:ind w:left="340" w:hanging="198"/>
      </w:pPr>
      <w:r>
        <w:rPr>
          <w:rFonts w:ascii="Arial" w:hAnsi="Arial" w:eastAsia="Arial" w:cs="Arial"/>
          <w:b/>
        </w:rPr>
        <w:t xml:space="preserve">• </w:t>
      </w:r>
      <w:r>
        <w:rPr>
          <w:rFonts w:ascii="Arial" w:hAnsi="Arial" w:eastAsia="Arial" w:cs="Arial"/>
        </w:rPr>
        <w:t>политическая ясность: государство заранее объявляет, где проходит граница между защищённым статусом и политическим участием;</w:t>
      </w:r>
    </w:p>
    <w:p>
      <w:pPr>
        <w:spacing w:after="60"/>
        <w:ind w:left="340" w:hanging="198"/>
      </w:pPr>
      <w:r>
        <w:rPr>
          <w:rFonts w:ascii="Arial" w:hAnsi="Arial" w:eastAsia="Arial" w:cs="Arial"/>
          <w:b/>
        </w:rPr>
        <w:t xml:space="preserve">• </w:t>
      </w:r>
      <w:r>
        <w:rPr>
          <w:rFonts w:ascii="Arial" w:hAnsi="Arial" w:eastAsia="Arial" w:cs="Arial"/>
        </w:rPr>
        <w:t>возможность строить последующие законы на твёрдом фундаменте и не спорить на каждом этапе о допустимости самой модели.</w:t>
      </w:r>
    </w:p>
    <w:p>
      <w:pPr>
        <w:pStyle w:val="Heading1Custom"/>
      </w:pPr>
      <w:r>
        <w:rPr>
          <w:rFonts w:ascii="Arial" w:hAnsi="Arial" w:eastAsia="Arial" w:cs="Arial"/>
        </w:rPr>
        <w:t>4. Проект конституционного закона Республики Армения</w:t>
      </w:r>
    </w:p>
    <w:p>
      <w:pPr>
        <w:pStyle w:val="SmallGray"/>
      </w:pPr>
      <w:r>
        <w:rPr>
          <w:rFonts w:ascii="Arial" w:hAnsi="Arial" w:eastAsia="Arial" w:cs="Arial"/>
        </w:rPr>
        <w:t>Проект</w:t>
      </w:r>
    </w:p>
    <w:p>
      <w:pPr>
        <w:pStyle w:val="Heading2Custom"/>
      </w:pPr>
      <w:r>
        <w:rPr>
          <w:rFonts w:ascii="Arial" w:hAnsi="Arial" w:eastAsia="Arial" w:cs="Arial"/>
        </w:rPr>
        <w:t>КОНСТИТУЦИОННЫЙ ЗАКОН РЕСПУБЛИКИ АРМЕНИЯ «О ВНЕСЕНИИ ИЗМЕНЕНИЙ И ДОПОЛНЕНИЙ В КОНСТИТУЦИЮ РЕСПУБЛИКИ АРМЕНИЯ»</w:t>
      </w:r>
    </w:p>
    <w:p>
      <w:pPr/>
      <w:r>
        <w:rPr>
          <w:rFonts w:ascii="Arial" w:hAnsi="Arial" w:eastAsia="Arial" w:cs="Arial"/>
        </w:rPr>
        <w:t>Национальное Собрание Республики Армения, руководствуясь необходимостью обеспечения правовой определённости статуса интегрированных в армянское общество лиц, создания особых форм устойчивой правовой связи с государством и установления абсолютной конституционной гарантии невыдачи защищённых категорий лиц иностранным государствам, принимает настоящий конституционный закон.</w:t>
      </w:r>
    </w:p>
    <w:p>
      <w:pPr>
        <w:pStyle w:val="Heading2Custom"/>
      </w:pPr>
      <w:r>
        <w:rPr>
          <w:rFonts w:ascii="Arial" w:hAnsi="Arial" w:eastAsia="Arial" w:cs="Arial"/>
        </w:rPr>
        <w:t>Статья 1. Дополнение статьи 47 Конституции</w:t>
      </w:r>
    </w:p>
    <w:p>
      <w:pPr/>
      <w:r>
        <w:rPr>
          <w:rFonts w:ascii="Arial" w:hAnsi="Arial" w:eastAsia="Arial" w:cs="Arial"/>
        </w:rPr>
        <w:t>Статью 47 дополнить новой частью следующего содержания: «Закон может устанавливать временное гражданство Республики Армения и специальную гражданскую принадлежность к Республике Армения как особые формы устойчивой правовой связи с государством, определять основания их приобретения, срок действия, объём прав и обязанностей, порядок прекращения, а также гарантии защиты таких лиц».</w:t>
      </w:r>
    </w:p>
    <w:p>
      <w:pPr>
        <w:pStyle w:val="Heading2Custom"/>
      </w:pPr>
      <w:r>
        <w:rPr>
          <w:rFonts w:ascii="Arial" w:hAnsi="Arial" w:eastAsia="Arial" w:cs="Arial"/>
        </w:rPr>
        <w:t>Статья 2. Дополнение статьи 47 положением о защите</w:t>
      </w:r>
    </w:p>
    <w:p>
      <w:pPr/>
      <w:r>
        <w:rPr>
          <w:rFonts w:ascii="Arial" w:hAnsi="Arial" w:eastAsia="Arial" w:cs="Arial"/>
        </w:rPr>
        <w:t>После части 8 статьи 47 дополнить новой частью следующего содержания: «Лица, обладающие специальной гражданской принадлежностью к Республике Армения, находясь за пределами Республики Армения, пользуются защитой и содействием Республики Армения в объёме, предусмотренном законом и международным правом».</w:t>
      </w:r>
    </w:p>
    <w:p>
      <w:pPr>
        <w:pStyle w:val="Heading2Custom"/>
      </w:pPr>
      <w:r>
        <w:rPr>
          <w:rFonts w:ascii="Arial" w:hAnsi="Arial" w:eastAsia="Arial" w:cs="Arial"/>
        </w:rPr>
        <w:t>Статья 3. Изменение статьи 48 Конституции</w:t>
      </w:r>
    </w:p>
    <w:p>
      <w:pPr/>
      <w:r>
        <w:rPr>
          <w:rFonts w:ascii="Arial" w:hAnsi="Arial" w:eastAsia="Arial" w:cs="Arial"/>
        </w:rPr>
        <w:t>Часть 1 статьи 48 изложить в следующей редакции: «Граждане Республики Армения, за исключением лиц, обладающих временным гражданством Республики Армения, достигшие восемнадцати лет ко дню выборов в Национальное Собрание или ко дню референдума, имеют право избирать и участвовать в референдуме». После части 1 статьи 48 дополнить новой частью следующего содержания: «Лица, обладающие специальной гражданской принадлежностью к Республике Армения, не обладают правом участвовать в выборах и референдумах, если иное прямо не предусмотрено Конституцией». Часть 3 статьи 48 изложить в следующей редакции: «Граждане Республики Армения, за исключением лиц, обладающих временным гражданством Республики Армения, достигшие восемнадцати лет ко дню выборов или референдума, имеют право избирать и быть избранными при выборах органов местного самоуправления, а также участвовать в местном референдуме. Закон может предоставить такое право отдельным категориям лиц, не являющихся гражданами Республики Армения, за исключением лиц со специальной гражданской принадлежностью, в случаях, прямо предусмотренных законом». Правовой смысл этой статьи для целей проекта состоит в том, что временное гражданство и специальная гражданская принадлежность не дают национального или местного избирательного права, а также права участия в референдумах.</w:t>
      </w:r>
    </w:p>
    <w:p>
      <w:pPr>
        <w:pStyle w:val="Heading2Custom"/>
      </w:pPr>
      <w:r>
        <w:rPr>
          <w:rFonts w:ascii="Arial" w:hAnsi="Arial" w:eastAsia="Arial" w:cs="Arial"/>
        </w:rPr>
        <w:t>Статья 4. Изменение статьи 55 Конституции</w:t>
      </w:r>
    </w:p>
    <w:p>
      <w:pPr/>
      <w:r>
        <w:rPr>
          <w:rFonts w:ascii="Arial" w:hAnsi="Arial" w:eastAsia="Arial" w:cs="Arial"/>
        </w:rPr>
        <w:t>Часть 2 статьи 55 изложить в следующей редакции: «Гражданин Республики Армения, лицо, обладающее временным гражданством Республики Армения, а также лицо, обладающее специальной гражданской принадлежностью к Республике Армения, не могут быть выданы иностранному государству. Лишение, прекращение или изменение статуса не могут применяться в целях обхода запрета, установленного настоящей частью».</w:t>
      </w:r>
    </w:p>
    <w:p>
      <w:pPr>
        <w:pStyle w:val="Heading2Custom"/>
      </w:pPr>
      <w:r>
        <w:rPr>
          <w:rFonts w:ascii="Arial" w:hAnsi="Arial" w:eastAsia="Arial" w:cs="Arial"/>
        </w:rPr>
        <w:t>Статья 5. Изменение статьи 40 Конституции</w:t>
      </w:r>
    </w:p>
    <w:p>
      <w:pPr/>
      <w:r>
        <w:rPr>
          <w:rFonts w:ascii="Arial" w:hAnsi="Arial" w:eastAsia="Arial" w:cs="Arial"/>
        </w:rPr>
        <w:t>Часть 3 статьи 40 дополнить указанием о том, что лица, обладающие временным гражданством Республики Армения и специальной гражданской принадлежностью к Республике Армения, имеют право на въезд в Республику Армения в порядке, установленном законом, а право их возвращения в Республику Армения не может быть произвольно ограничено.</w:t>
      </w:r>
    </w:p>
    <w:p>
      <w:pPr>
        <w:pStyle w:val="Heading2Custom"/>
      </w:pPr>
      <w:r>
        <w:rPr>
          <w:rFonts w:ascii="Arial" w:hAnsi="Arial" w:eastAsia="Arial" w:cs="Arial"/>
        </w:rPr>
        <w:t>Статья 6. Переходное положение</w:t>
      </w:r>
    </w:p>
    <w:p>
      <w:pPr/>
      <w:r>
        <w:rPr>
          <w:rFonts w:ascii="Arial" w:hAnsi="Arial" w:eastAsia="Arial" w:cs="Arial"/>
        </w:rPr>
        <w:t>После вступления в силу настоящего конституционного закона Национальное Собрание и Правительство Республики Армения обязаны в течение шести месяцев привести законы и подзаконные акты в соответствие с новой конституционной моделью.</w:t>
      </w:r>
    </w:p>
    <w:p>
      <w:pPr>
        <w:pStyle w:val="Heading1Custom"/>
      </w:pPr>
      <w:r>
        <w:rPr>
          <w:rFonts w:ascii="Arial" w:hAnsi="Arial" w:eastAsia="Arial" w:cs="Arial"/>
        </w:rPr>
        <w:t>5. Пояснительная записка к конституционному проекту</w:t>
      </w:r>
    </w:p>
    <w:p>
      <w:pPr>
        <w:pStyle w:val="Heading2Custom"/>
      </w:pPr>
      <w:r>
        <w:rPr>
          <w:rFonts w:ascii="Arial" w:hAnsi="Arial" w:eastAsia="Arial" w:cs="Arial"/>
        </w:rPr>
        <w:t>5.1. Почему простой закон недостаточен</w:t>
      </w:r>
    </w:p>
    <w:p>
      <w:pPr>
        <w:spacing w:after="60"/>
        <w:ind w:left="340" w:hanging="198"/>
      </w:pPr>
      <w:r>
        <w:rPr>
          <w:rFonts w:ascii="Arial" w:hAnsi="Arial" w:eastAsia="Arial" w:cs="Arial"/>
          <w:b/>
        </w:rPr>
        <w:t xml:space="preserve">• </w:t>
      </w:r>
      <w:r>
        <w:rPr>
          <w:rFonts w:ascii="Arial" w:hAnsi="Arial" w:eastAsia="Arial" w:cs="Arial"/>
        </w:rPr>
        <w:t>действующая Конституция прямо регулирует избирательные права граждан и выдачу граждан иностранным государствам;</w:t>
      </w:r>
    </w:p>
    <w:p>
      <w:pPr>
        <w:spacing w:after="60"/>
        <w:ind w:left="340" w:hanging="198"/>
      </w:pPr>
      <w:r>
        <w:rPr>
          <w:rFonts w:ascii="Arial" w:hAnsi="Arial" w:eastAsia="Arial" w:cs="Arial"/>
          <w:b/>
        </w:rPr>
        <w:t xml:space="preserve">• </w:t>
      </w:r>
      <w:r>
        <w:rPr>
          <w:rFonts w:ascii="Arial" w:hAnsi="Arial" w:eastAsia="Arial" w:cs="Arial"/>
        </w:rPr>
        <w:t>если создать новый гражданоподобный статус без конституционной опоры, возрастает риск спора о том, может ли обычный закон по‑новому распределить права, которые Конституция уже связала с гражданством;</w:t>
      </w:r>
    </w:p>
    <w:p>
      <w:pPr>
        <w:spacing w:after="60"/>
        <w:ind w:left="340" w:hanging="198"/>
      </w:pPr>
      <w:r>
        <w:rPr>
          <w:rFonts w:ascii="Arial" w:hAnsi="Arial" w:eastAsia="Arial" w:cs="Arial"/>
          <w:b/>
        </w:rPr>
        <w:t xml:space="preserve">• </w:t>
      </w:r>
      <w:r>
        <w:rPr>
          <w:rFonts w:ascii="Arial" w:hAnsi="Arial" w:eastAsia="Arial" w:cs="Arial"/>
        </w:rPr>
        <w:t>требование заказчика об абсолютной невыдаче прямо упирается в действующую конституционную оговорку о международных договорах, а значит, должно решаться на том же конституционном уровне.</w:t>
      </w:r>
    </w:p>
    <w:p>
      <w:pPr>
        <w:pStyle w:val="Heading2Custom"/>
      </w:pPr>
      <w:r>
        <w:rPr>
          <w:rFonts w:ascii="Arial" w:hAnsi="Arial" w:eastAsia="Arial" w:cs="Arial"/>
        </w:rPr>
        <w:t>5.2. Что именно меняется</w:t>
      </w:r>
    </w:p>
    <w:p>
      <w:pPr>
        <w:spacing w:after="60"/>
        <w:ind w:left="340" w:hanging="198"/>
      </w:pPr>
      <w:r>
        <w:rPr>
          <w:rFonts w:ascii="Arial" w:hAnsi="Arial" w:eastAsia="Arial" w:cs="Arial"/>
          <w:b/>
        </w:rPr>
        <w:t xml:space="preserve">• </w:t>
      </w:r>
      <w:r>
        <w:rPr>
          <w:rFonts w:ascii="Arial" w:hAnsi="Arial" w:eastAsia="Arial" w:cs="Arial"/>
        </w:rPr>
        <w:t>Конституция прямо признаёт возможность существования временного гражданства и специальной гражданской принадлежности как особых форм устойчивой правовой связи с государством.</w:t>
      </w:r>
    </w:p>
    <w:p>
      <w:pPr>
        <w:spacing w:after="60"/>
        <w:ind w:left="340" w:hanging="198"/>
      </w:pPr>
      <w:r>
        <w:rPr>
          <w:rFonts w:ascii="Arial" w:hAnsi="Arial" w:eastAsia="Arial" w:cs="Arial"/>
          <w:b/>
        </w:rPr>
        <w:t xml:space="preserve">• </w:t>
      </w:r>
      <w:r>
        <w:rPr>
          <w:rFonts w:ascii="Arial" w:hAnsi="Arial" w:eastAsia="Arial" w:cs="Arial"/>
        </w:rPr>
        <w:t>Избирательные права и участие в референдумах выводятся за пределы временного гражданства и специальной гражданской принадлежности.</w:t>
      </w:r>
    </w:p>
    <w:p>
      <w:pPr>
        <w:spacing w:after="60"/>
        <w:ind w:left="340" w:hanging="198"/>
      </w:pPr>
      <w:r>
        <w:rPr>
          <w:rFonts w:ascii="Arial" w:hAnsi="Arial" w:eastAsia="Arial" w:cs="Arial"/>
          <w:b/>
        </w:rPr>
        <w:t xml:space="preserve">• </w:t>
      </w:r>
      <w:r>
        <w:rPr>
          <w:rFonts w:ascii="Arial" w:hAnsi="Arial" w:eastAsia="Arial" w:cs="Arial"/>
        </w:rPr>
        <w:t>Запрет выдачи становится абсолютным и распространяется не только на полных граждан, но и на лиц, которых Армения решила взять под собственную конституционную защиту.</w:t>
      </w:r>
    </w:p>
    <w:p>
      <w:pPr>
        <w:pStyle w:val="Heading2Custom"/>
      </w:pPr>
      <w:r>
        <w:rPr>
          <w:rFonts w:ascii="Arial" w:hAnsi="Arial" w:eastAsia="Arial" w:cs="Arial"/>
        </w:rPr>
        <w:t>5.3. Почему в статье 55 запрет должен быть сформулирован максимально общо</w:t>
      </w:r>
    </w:p>
    <w:p>
      <w:pPr/>
      <w:r>
        <w:rPr>
          <w:rFonts w:ascii="Arial" w:hAnsi="Arial" w:eastAsia="Arial" w:cs="Arial"/>
        </w:rPr>
        <w:t>Если в Конституции перечислить только одну страну — например, Российскую Федерацию, — это создаст ненужную уязвимость и политическую избирательность. Гораздо устойчивее и юридически чище установить общий запрет выдачи любому иностранному государству, независимо от того, кто направил запрос. Такая конструкция лучше работает и против попыток обхода через третьи страны.</w:t>
      </w:r>
    </w:p>
    <w:p>
      <w:pPr>
        <w:pStyle w:val="Heading2Custom"/>
      </w:pPr>
      <w:r>
        <w:rPr>
          <w:rFonts w:ascii="Arial" w:hAnsi="Arial" w:eastAsia="Arial" w:cs="Arial"/>
        </w:rPr>
        <w:t>5.4. Международно-правовой аспект</w:t>
      </w:r>
    </w:p>
    <w:p>
      <w:pPr/>
      <w:r>
        <w:rPr>
          <w:rFonts w:ascii="Arial" w:hAnsi="Arial" w:eastAsia="Arial" w:cs="Arial"/>
        </w:rPr>
        <w:t>Поправка об абсолютной невыдаче означает, что после её принятия Армения должна привести в соответствие свою договорную и обычную экстрадиционную практику. Это не означает отказ от международного сотрудничества в уголовной сфере вообще: сохраняются взаимная правовая помощь, обмен доказательствами, возможность преследования на территории Армении, а также иные формы сотрудничества, не нарушающие конституционный запрет выдачи.</w:t>
      </w:r>
    </w:p>
    <w:p>
      <w:pPr>
        <w:pStyle w:val="Heading2Custom"/>
      </w:pPr>
      <w:r>
        <w:rPr>
          <w:rFonts w:ascii="Arial" w:hAnsi="Arial" w:eastAsia="Arial" w:cs="Arial"/>
        </w:rPr>
        <w:t>5.5. Необходимость референдума</w:t>
      </w:r>
    </w:p>
    <w:p>
      <w:pPr/>
      <w:r>
        <w:rPr>
          <w:rFonts w:ascii="Arial" w:hAnsi="Arial" w:eastAsia="Arial" w:cs="Arial"/>
        </w:rPr>
        <w:t>Поскольку поправки затрагивают положения глав 2–3 Конституции, их принятие требует соблюдения специальной процедуры конституционного пересмотра и вынесения проекта на референдум. Этот вывод следует прямо учитывать в календаре кампании, в коммуникации с государством и в дорожной карте НКО.</w:t>
      </w:r>
    </w:p>
    <w:p>
      <w:pPr>
        <w:pStyle w:val="Heading1Custom"/>
      </w:pPr>
      <w:r>
        <w:rPr>
          <w:rFonts w:ascii="Arial" w:hAnsi="Arial" w:eastAsia="Arial" w:cs="Arial"/>
        </w:rPr>
        <w:t>6. Сравнительная таблица изменений</w:t>
      </w:r>
    </w:p>
    <w:tbl>
      <w:tblPr>
        <w:tblStyle w:val="TableGrid"/>
        <w:tblW w:type="auto" w:w="0"/>
        <w:tblLayout w:type="fixed"/>
        <w:tblLook w:firstColumn="1" w:firstRow="1" w:lastColumn="0" w:lastRow="0" w:noHBand="0" w:noVBand="1" w:val="04A0"/>
        <w:tblCellMar>
          <w:top w:w="85" w:type="dxa"/>
          <w:start w:w="100" w:type="dxa"/>
          <w:bottom w:w="85" w:type="dxa"/>
          <w:end w:w="100" w:type="dxa"/>
        </w:tblCellMar>
        <w:jc w:val="center"/>
        <w:tblBorders>
          <w:top w:val="single" w:sz="5" w:space="0" w:color="C9CED6"/>
          <w:left w:val="single" w:sz="5" w:space="0" w:color="C9CED6"/>
          <w:bottom w:val="single" w:sz="5" w:space="0" w:color="C9CED6"/>
          <w:right w:val="single" w:sz="5" w:space="0" w:color="C9CED6"/>
          <w:insideH w:val="single" w:sz="5" w:space="0" w:color="C9CED6"/>
          <w:insideV w:val="single" w:sz="5" w:space="0" w:color="C9CED6"/>
        </w:tblBorders>
      </w:tblPr>
      <w:tblGrid>
        <w:gridCol w:w="2381"/>
        <w:gridCol w:w="2381"/>
        <w:gridCol w:w="2381"/>
        <w:gridCol w:w="2381"/>
      </w:tblGrid>
      <w:tr>
        <w:tc>
          <w:tcPr>
            <w:tcW w:type="dxa" w:w="1134"/>
            <w:shd w:fill="E9E3DC" w:color="auto" w:val="clear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0" w:before="0" w:line="269" w:lineRule="auto"/>
              <w:jc w:val="center"/>
            </w:pPr>
            <w:r>
              <w:rPr>
                <w:rFonts w:ascii="Arial" w:hAnsi="Arial" w:eastAsia="Arial" w:cs="Arial"/>
                <w:b/>
                <w:color w:val="1F2430"/>
                <w:sz w:val="22"/>
              </w:rPr>
              <w:t>Норма</w:t>
            </w:r>
          </w:p>
        </w:tc>
        <w:tc>
          <w:tcPr>
            <w:tcW w:type="dxa" w:w="2381"/>
            <w:shd w:fill="E9E3DC" w:color="auto" w:val="clear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0" w:before="0" w:line="269" w:lineRule="auto"/>
              <w:jc w:val="center"/>
            </w:pPr>
            <w:r>
              <w:rPr>
                <w:rFonts w:ascii="Arial" w:hAnsi="Arial" w:eastAsia="Arial" w:cs="Arial"/>
                <w:b/>
                <w:color w:val="1F2430"/>
                <w:sz w:val="22"/>
              </w:rPr>
              <w:t>Действующий смысл</w:t>
            </w:r>
          </w:p>
        </w:tc>
        <w:tc>
          <w:tcPr>
            <w:tcW w:type="dxa" w:w="2835"/>
            <w:shd w:fill="E9E3DC" w:color="auto" w:val="clear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0" w:before="0" w:line="269" w:lineRule="auto"/>
              <w:jc w:val="center"/>
            </w:pPr>
            <w:r>
              <w:rPr>
                <w:rFonts w:ascii="Arial" w:hAnsi="Arial" w:eastAsia="Arial" w:cs="Arial"/>
                <w:b/>
                <w:color w:val="1F2430"/>
                <w:sz w:val="22"/>
              </w:rPr>
              <w:t>Предлагаемое изменение</w:t>
            </w:r>
          </w:p>
        </w:tc>
        <w:tc>
          <w:tcPr>
            <w:tcW w:type="dxa" w:w="2891"/>
            <w:shd w:fill="E9E3DC" w:color="auto" w:val="clear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0" w:before="0" w:line="269" w:lineRule="auto"/>
              <w:jc w:val="center"/>
            </w:pPr>
            <w:r>
              <w:rPr>
                <w:rFonts w:ascii="Arial" w:hAnsi="Arial" w:eastAsia="Arial" w:cs="Arial"/>
                <w:b/>
                <w:color w:val="1F2430"/>
                <w:sz w:val="22"/>
              </w:rPr>
              <w:t>Практический эффект</w:t>
            </w:r>
          </w:p>
        </w:tc>
      </w:tr>
      <w:tr>
        <w:tc>
          <w:tcPr>
            <w:tcW w:type="dxa" w:w="1134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50" w:before="0" w:line="269" w:lineRule="auto"/>
              <w:jc w:val="center"/>
            </w:pPr>
            <w:r>
              <w:rPr>
                <w:rFonts w:ascii="Arial" w:hAnsi="Arial" w:eastAsia="Arial" w:cs="Arial"/>
                <w:color w:val="222B36"/>
                <w:sz w:val="21"/>
              </w:rPr>
              <w:t>Ст. 47</w:t>
            </w:r>
          </w:p>
        </w:tc>
        <w:tc>
          <w:tcPr>
            <w:tcW w:type="dxa" w:w="2381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color w:val="222B36"/>
                <w:sz w:val="21"/>
              </w:rPr>
              <w:t>Конституция говорит о гражданстве, но прямо не знает временного гражданства и гражданской принадлежности.</w:t>
            </w:r>
          </w:p>
        </w:tc>
        <w:tc>
          <w:tcPr>
            <w:tcW w:type="dxa" w:w="2835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color w:val="222B36"/>
                <w:sz w:val="21"/>
              </w:rPr>
              <w:t>Закон допускается как вводящий временное гражданство и специальную гражданскую принадлежность.</w:t>
            </w:r>
          </w:p>
        </w:tc>
        <w:tc>
          <w:tcPr>
            <w:tcW w:type="dxa" w:w="2891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color w:val="222B36"/>
                <w:sz w:val="21"/>
              </w:rPr>
              <w:t>Снимается спор о допустимости самих институтов.</w:t>
            </w:r>
          </w:p>
        </w:tc>
      </w:tr>
      <w:tr>
        <w:tc>
          <w:tcPr>
            <w:tcW w:type="dxa" w:w="1134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50" w:before="0" w:line="269" w:lineRule="auto"/>
              <w:jc w:val="center"/>
            </w:pPr>
            <w:r>
              <w:rPr>
                <w:rFonts w:ascii="Arial" w:hAnsi="Arial" w:eastAsia="Arial" w:cs="Arial"/>
                <w:color w:val="222B36"/>
                <w:sz w:val="21"/>
              </w:rPr>
              <w:t>Ст. 48</w:t>
            </w:r>
          </w:p>
        </w:tc>
        <w:tc>
          <w:tcPr>
            <w:tcW w:type="dxa" w:w="2381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color w:val="222B36"/>
                <w:sz w:val="21"/>
              </w:rPr>
              <w:t>Избирательные права привязаны к гражданству.</w:t>
            </w:r>
          </w:p>
        </w:tc>
        <w:tc>
          <w:tcPr>
            <w:tcW w:type="dxa" w:w="2835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color w:val="222B36"/>
                <w:sz w:val="21"/>
              </w:rPr>
              <w:t>Временное гражданство и специальная гражданская принадлежность выводятся из избирательных и референдумных прав.</w:t>
            </w:r>
          </w:p>
        </w:tc>
        <w:tc>
          <w:tcPr>
            <w:tcW w:type="dxa" w:w="2891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color w:val="222B36"/>
                <w:sz w:val="21"/>
              </w:rPr>
              <w:t>Реализуется исходная идея: статус почти как гражданство, но без выборов.</w:t>
            </w:r>
          </w:p>
        </w:tc>
      </w:tr>
      <w:tr>
        <w:tc>
          <w:tcPr>
            <w:tcW w:type="dxa" w:w="1134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50" w:before="0" w:line="269" w:lineRule="auto"/>
              <w:jc w:val="center"/>
            </w:pPr>
            <w:r>
              <w:rPr>
                <w:rFonts w:ascii="Arial" w:hAnsi="Arial" w:eastAsia="Arial" w:cs="Arial"/>
                <w:color w:val="222B36"/>
                <w:sz w:val="21"/>
              </w:rPr>
              <w:t>Ст. 55 ч. 2</w:t>
            </w:r>
          </w:p>
        </w:tc>
        <w:tc>
          <w:tcPr>
            <w:tcW w:type="dxa" w:w="2381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color w:val="222B36"/>
                <w:sz w:val="21"/>
              </w:rPr>
              <w:t>Гражданин не выдаётся, но есть treaty-исключение.</w:t>
            </w:r>
          </w:p>
        </w:tc>
        <w:tc>
          <w:tcPr>
            <w:tcW w:type="dxa" w:w="2835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color w:val="222B36"/>
                <w:sz w:val="21"/>
              </w:rPr>
              <w:t>Абсолютный запрет выдачи граждан, временных граждан и лиц со специальной гражданской принадлежностью.</w:t>
            </w:r>
          </w:p>
        </w:tc>
        <w:tc>
          <w:tcPr>
            <w:tcW w:type="dxa" w:w="2891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color w:val="222B36"/>
                <w:sz w:val="21"/>
              </w:rPr>
              <w:t>Конституционное ядро невыдачи укрепляется.</w:t>
            </w:r>
          </w:p>
        </w:tc>
      </w:tr>
      <w:tr>
        <w:tc>
          <w:tcPr>
            <w:tcW w:type="dxa" w:w="1134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50" w:before="0" w:line="269" w:lineRule="auto"/>
              <w:jc w:val="center"/>
            </w:pPr>
            <w:r>
              <w:rPr>
                <w:rFonts w:ascii="Arial" w:hAnsi="Arial" w:eastAsia="Arial" w:cs="Arial"/>
                <w:color w:val="222B36"/>
                <w:sz w:val="21"/>
              </w:rPr>
              <w:t>Ст. 40</w:t>
            </w:r>
          </w:p>
        </w:tc>
        <w:tc>
          <w:tcPr>
            <w:tcW w:type="dxa" w:w="2381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color w:val="222B36"/>
                <w:sz w:val="21"/>
              </w:rPr>
              <w:t>Право въезда принадлежит гражданину и законно проживающему лицу.</w:t>
            </w:r>
          </w:p>
        </w:tc>
        <w:tc>
          <w:tcPr>
            <w:tcW w:type="dxa" w:w="2835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color w:val="222B36"/>
                <w:sz w:val="21"/>
              </w:rPr>
              <w:t>Для новых статусов закрепляется усиленная гарантия въезда и возвращения в Армению.</w:t>
            </w:r>
          </w:p>
        </w:tc>
        <w:tc>
          <w:tcPr>
            <w:tcW w:type="dxa" w:w="2891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color w:val="222B36"/>
                <w:sz w:val="21"/>
              </w:rPr>
              <w:t>Снижается риск спорной административной практики.</w:t>
            </w:r>
          </w:p>
        </w:tc>
      </w:tr>
    </w:tbl>
    <w:p/>
    <w:p>
      <w:pPr>
        <w:pStyle w:val="Heading1Custom"/>
      </w:pPr>
      <w:r>
        <w:rPr>
          <w:rFonts w:ascii="Arial" w:hAnsi="Arial" w:eastAsia="Arial" w:cs="Arial"/>
        </w:rPr>
        <w:t>7. Риск-мемо и предохранители</w:t>
      </w:r>
    </w:p>
    <w:p>
      <w:pPr>
        <w:spacing w:after="60"/>
        <w:ind w:left="340" w:hanging="198"/>
      </w:pPr>
      <w:r>
        <w:rPr>
          <w:rFonts w:ascii="Arial" w:hAnsi="Arial" w:eastAsia="Arial" w:cs="Arial"/>
          <w:b/>
        </w:rPr>
        <w:t xml:space="preserve">• </w:t>
      </w:r>
      <w:r>
        <w:rPr>
          <w:rFonts w:ascii="Arial" w:hAnsi="Arial" w:eastAsia="Arial" w:cs="Arial"/>
        </w:rPr>
        <w:t>Риск 1: конфликт с международными договорами. Решение: прямо признать приоритет обновлённой Конституции в части запрета выдачи и одновременно подготовить пакет дипломатических и правовых уведомлений о новой конституционной модели.</w:t>
      </w:r>
    </w:p>
    <w:p>
      <w:pPr>
        <w:spacing w:after="60"/>
        <w:ind w:left="340" w:hanging="198"/>
      </w:pPr>
      <w:r>
        <w:rPr>
          <w:rFonts w:ascii="Arial" w:hAnsi="Arial" w:eastAsia="Arial" w:cs="Arial"/>
          <w:b/>
        </w:rPr>
        <w:t xml:space="preserve">• </w:t>
      </w:r>
      <w:r>
        <w:rPr>
          <w:rFonts w:ascii="Arial" w:hAnsi="Arial" w:eastAsia="Arial" w:cs="Arial"/>
        </w:rPr>
        <w:t>Риск 2: обвинение в создании «второго сорта гражданства». Решение: в коммуникации подчёркивать, что временное гражданство — это добровольный переходный институт с заранее понятной продолжительностью и с открытым путём к полному гражданству.</w:t>
      </w:r>
    </w:p>
    <w:p>
      <w:pPr>
        <w:spacing w:after="60"/>
        <w:ind w:left="340" w:hanging="198"/>
      </w:pPr>
      <w:r>
        <w:rPr>
          <w:rFonts w:ascii="Arial" w:hAnsi="Arial" w:eastAsia="Arial" w:cs="Arial"/>
          <w:b/>
        </w:rPr>
        <w:t xml:space="preserve">• </w:t>
      </w:r>
      <w:r>
        <w:rPr>
          <w:rFonts w:ascii="Arial" w:hAnsi="Arial" w:eastAsia="Arial" w:cs="Arial"/>
        </w:rPr>
        <w:t>Риск 3: опасение злоупотреблений ради уклонения от преследования. Решение: предусмотреть жёсткую фильтрацию по безопасности, отказ при серьёзной угрозе национальной безопасности и возможность внутреннего преследования в Армении вместо выдачи.</w:t>
      </w:r>
    </w:p>
    <w:p>
      <w:pPr>
        <w:spacing w:after="60"/>
        <w:ind w:left="340" w:hanging="198"/>
      </w:pPr>
      <w:r>
        <w:rPr>
          <w:rFonts w:ascii="Arial" w:hAnsi="Arial" w:eastAsia="Arial" w:cs="Arial"/>
          <w:b/>
        </w:rPr>
        <w:t xml:space="preserve">• </w:t>
      </w:r>
      <w:r>
        <w:rPr>
          <w:rFonts w:ascii="Arial" w:hAnsi="Arial" w:eastAsia="Arial" w:cs="Arial"/>
        </w:rPr>
        <w:t>Риск 4: чрезмерная политизация реформы. Решение: строить аргументацию не вокруг одной страны происхождения, а вокруг принципа правовой определённости, безопасности и гуманной интеграции.</w:t>
      </w:r>
    </w:p>
    <w:p>
      <w:pPr>
        <w:pStyle w:val="Heading1Custom"/>
      </w:pPr>
      <w:r>
        <w:rPr>
          <w:rFonts w:ascii="Arial" w:hAnsi="Arial" w:eastAsia="Arial" w:cs="Arial"/>
        </w:rPr>
        <w:t>8. Дорожная карта после конституционного решения</w:t>
      </w:r>
    </w:p>
    <w:p>
      <w:pPr>
        <w:spacing w:after="60"/>
        <w:ind w:left="397" w:hanging="283"/>
      </w:pPr>
      <w:r>
        <w:rPr>
          <w:rFonts w:ascii="Arial" w:hAnsi="Arial" w:eastAsia="Arial" w:cs="Arial"/>
          <w:b/>
        </w:rPr>
        <w:t xml:space="preserve">1. </w:t>
      </w:r>
      <w:r>
        <w:rPr>
          <w:rFonts w:ascii="Arial" w:hAnsi="Arial" w:eastAsia="Arial" w:cs="Arial"/>
        </w:rPr>
        <w:t>Подготовка армяноязычной финальной редакции конституционного проекта и сравнительной таблицы.</w:t>
      </w:r>
    </w:p>
    <w:p>
      <w:pPr>
        <w:spacing w:after="60"/>
        <w:ind w:left="397" w:hanging="283"/>
      </w:pPr>
      <w:r>
        <w:rPr>
          <w:rFonts w:ascii="Arial" w:hAnsi="Arial" w:eastAsia="Arial" w:cs="Arial"/>
          <w:b/>
        </w:rPr>
        <w:t xml:space="preserve">2. </w:t>
      </w:r>
      <w:r>
        <w:rPr>
          <w:rFonts w:ascii="Arial" w:hAnsi="Arial" w:eastAsia="Arial" w:cs="Arial"/>
        </w:rPr>
        <w:t>Получение политической поддержки минимум для решения о вынесении проекта на конституционный маршрут.</w:t>
      </w:r>
    </w:p>
    <w:p>
      <w:pPr>
        <w:spacing w:after="60"/>
        <w:ind w:left="397" w:hanging="283"/>
      </w:pPr>
      <w:r>
        <w:rPr>
          <w:rFonts w:ascii="Arial" w:hAnsi="Arial" w:eastAsia="Arial" w:cs="Arial"/>
          <w:b/>
        </w:rPr>
        <w:t xml:space="preserve">3. </w:t>
      </w:r>
      <w:r>
        <w:rPr>
          <w:rFonts w:ascii="Arial" w:hAnsi="Arial" w:eastAsia="Arial" w:cs="Arial"/>
        </w:rPr>
        <w:t>Синхронное внесение обычных законов: о временном гражданстве, о специальной гражданской принадлежности и о сопутствующих изменениях.</w:t>
      </w:r>
    </w:p>
    <w:p>
      <w:pPr>
        <w:spacing w:after="60"/>
        <w:ind w:left="397" w:hanging="283"/>
      </w:pPr>
      <w:r>
        <w:rPr>
          <w:rFonts w:ascii="Arial" w:hAnsi="Arial" w:eastAsia="Arial" w:cs="Arial"/>
          <w:b/>
        </w:rPr>
        <w:t xml:space="preserve">4. </w:t>
      </w:r>
      <w:r>
        <w:rPr>
          <w:rFonts w:ascii="Arial" w:hAnsi="Arial" w:eastAsia="Arial" w:cs="Arial"/>
        </w:rPr>
        <w:t>Принятие правительственных актов о документах, проверках, межведомственном взаимодействии, пошлинах и реестрах.</w:t>
      </w:r>
    </w:p>
    <w:p>
      <w:pPr>
        <w:spacing w:after="60"/>
        <w:ind w:left="397" w:hanging="283"/>
      </w:pPr>
      <w:r>
        <w:rPr>
          <w:rFonts w:ascii="Arial" w:hAnsi="Arial" w:eastAsia="Arial" w:cs="Arial"/>
          <w:b/>
        </w:rPr>
        <w:t xml:space="preserve">5. </w:t>
      </w:r>
      <w:r>
        <w:rPr>
          <w:rFonts w:ascii="Arial" w:hAnsi="Arial" w:eastAsia="Arial" w:cs="Arial"/>
        </w:rPr>
        <w:t>Публичная кампания разъяснения: почему проект защищает людей, но не разрушает политическую систему Армении.</w:t>
      </w:r>
    </w:p>
    <w:p>
      <w:pPr>
        <w:pStyle w:val="Heading1Custom"/>
      </w:pPr>
      <w:r>
        <w:rPr>
          <w:rFonts w:ascii="Arial" w:hAnsi="Arial" w:eastAsia="Arial" w:cs="Arial"/>
        </w:rPr>
        <w:t>9. Рекомендуемые приложения к пакету</w:t>
      </w:r>
    </w:p>
    <w:p>
      <w:pPr>
        <w:spacing w:after="60"/>
        <w:ind w:left="340" w:hanging="198"/>
      </w:pPr>
      <w:r>
        <w:rPr>
          <w:rFonts w:ascii="Arial" w:hAnsi="Arial" w:eastAsia="Arial" w:cs="Arial"/>
          <w:b/>
        </w:rPr>
        <w:t xml:space="preserve">• </w:t>
      </w:r>
      <w:r>
        <w:rPr>
          <w:rFonts w:ascii="Arial" w:hAnsi="Arial" w:eastAsia="Arial" w:cs="Arial"/>
        </w:rPr>
        <w:t>сопроводительное письмо в Правительство и Национальное Собрание;</w:t>
      </w:r>
    </w:p>
    <w:p>
      <w:pPr>
        <w:spacing w:after="60"/>
        <w:ind w:left="340" w:hanging="198"/>
      </w:pPr>
      <w:r>
        <w:rPr>
          <w:rFonts w:ascii="Arial" w:hAnsi="Arial" w:eastAsia="Arial" w:cs="Arial"/>
          <w:b/>
        </w:rPr>
        <w:t xml:space="preserve">• </w:t>
      </w:r>
      <w:r>
        <w:rPr>
          <w:rFonts w:ascii="Arial" w:hAnsi="Arial" w:eastAsia="Arial" w:cs="Arial"/>
        </w:rPr>
        <w:t>лист официальных правовых опор и источников;</w:t>
      </w:r>
    </w:p>
    <w:p>
      <w:pPr>
        <w:spacing w:after="60"/>
        <w:ind w:left="340" w:hanging="198"/>
      </w:pPr>
      <w:r>
        <w:rPr>
          <w:rFonts w:ascii="Arial" w:hAnsi="Arial" w:eastAsia="Arial" w:cs="Arial"/>
          <w:b/>
        </w:rPr>
        <w:t xml:space="preserve">• </w:t>
      </w:r>
      <w:r>
        <w:rPr>
          <w:rFonts w:ascii="Arial" w:hAnsi="Arial" w:eastAsia="Arial" w:cs="Arial"/>
        </w:rPr>
        <w:t>исполнительное резюме на 1–2 страницы;</w:t>
      </w:r>
    </w:p>
    <w:p>
      <w:pPr>
        <w:spacing w:after="60"/>
        <w:ind w:left="340" w:hanging="198"/>
      </w:pPr>
      <w:r>
        <w:rPr>
          <w:rFonts w:ascii="Arial" w:hAnsi="Arial" w:eastAsia="Arial" w:cs="Arial"/>
          <w:b/>
        </w:rPr>
        <w:t xml:space="preserve">• </w:t>
      </w:r>
      <w:r>
        <w:rPr>
          <w:rFonts w:ascii="Arial" w:hAnsi="Arial" w:eastAsia="Arial" w:cs="Arial"/>
        </w:rPr>
        <w:t>визуальная карта реформы с двумя моделями статуса;</w:t>
      </w:r>
    </w:p>
    <w:p>
      <w:pPr>
        <w:spacing w:after="60"/>
        <w:ind w:left="340" w:hanging="198"/>
      </w:pPr>
      <w:r>
        <w:rPr>
          <w:rFonts w:ascii="Arial" w:hAnsi="Arial" w:eastAsia="Arial" w:cs="Arial"/>
          <w:b/>
        </w:rPr>
        <w:t xml:space="preserve">• </w:t>
      </w:r>
      <w:r>
        <w:rPr>
          <w:rFonts w:ascii="Arial" w:hAnsi="Arial" w:eastAsia="Arial" w:cs="Arial"/>
        </w:rPr>
        <w:t>FAQ по невыдаче и по различию между полным гражданством, временным гражданством и гражданской принадлежностью.</w:t>
      </w:r>
    </w:p>
    <w:p>
      <w:pPr>
        <w:pStyle w:val="QuoteBox"/>
        <w:shd w:fill="F6F7F9" w:val="clear" w:color="auto"/>
        <w:pBdr>
          <w:left w:val="single" w:sz="10" w:space="6" w:color="C9D0DA"/>
        </w:pBdr>
      </w:pPr>
      <w:r>
        <w:rPr>
          <w:rFonts w:ascii="Arial" w:hAnsi="Arial" w:eastAsia="Arial" w:cs="Arial"/>
          <w:b/>
        </w:rPr>
        <w:t xml:space="preserve">Базовые официальные опоры пакета: </w:t>
      </w:r>
      <w:r>
        <w:rPr>
          <w:rFonts w:ascii="Arial" w:hAnsi="Arial" w:eastAsia="Arial" w:cs="Arial"/>
        </w:rPr>
        <w:t>Конституция Республики Армения (ARLIS, статьи 40, 47, 48, 55, 202); Закон Республики Армения «О гражданстве Республики Армения» (ARLIS, статьи 5, 9, 13, 26); Официальная страница МИД Армении о гражданстве; Официальная страница МИД Армении о special residency status; Официальная страница Правительства Республики Армения о структуре Правительства; Официальная страница Президента Республики Армения</w:t>
      </w:r>
    </w:p>
    <w:p>
      <w:pPr>
        <w:pStyle w:val="Heading1Custom"/>
      </w:pPr>
      <w:r>
        <w:rPr>
          <w:rFonts w:ascii="Arial" w:hAnsi="Arial" w:eastAsia="Arial" w:cs="Arial"/>
        </w:rPr>
        <w:t>10. Что именно получает Армения от конституционного закрепления реформы</w:t>
      </w:r>
    </w:p>
    <w:p>
      <w:pPr/>
      <w:r>
        <w:rPr>
          <w:rFonts w:ascii="Arial" w:hAnsi="Arial" w:eastAsia="Arial" w:cs="Arial"/>
        </w:rPr>
        <w:t>• конституционный уровень устраняет главный риск — признание закона о временном гражданстве неконституционным из-за связи гражданства с правом голоса;</w:t>
      </w:r>
    </w:p>
    <w:p>
      <w:pPr/>
      <w:r>
        <w:rPr>
          <w:rFonts w:ascii="Arial" w:hAnsi="Arial" w:eastAsia="Arial" w:cs="Arial"/>
        </w:rPr>
        <w:t>• абсолютный конституционный запрет выдачи создаёт для Армении новый уровень доверия со стороны интегрированных жителей, бизнеса и международных партнёров;</w:t>
      </w:r>
    </w:p>
    <w:p>
      <w:pPr/>
      <w:r>
        <w:rPr>
          <w:rFonts w:ascii="Arial" w:hAnsi="Arial" w:eastAsia="Arial" w:cs="Arial"/>
        </w:rPr>
        <w:t>• референдумный путь придаёт реформе высшую политическую легитимность и делает её менее уязвимой для последующего пересмотра;</w:t>
      </w:r>
    </w:p>
    <w:p>
      <w:pPr/>
      <w:r>
        <w:rPr>
          <w:rFonts w:ascii="Arial" w:hAnsi="Arial" w:eastAsia="Arial" w:cs="Arial"/>
        </w:rPr>
        <w:t>• Конституция получает ясную архитектуру: полное гражданство, временное гражданство и гражданская принадлежность соотносятся между собой прямо и прозрачно.</w:t>
      </w:r>
    </w:p>
    <w:p>
      <w:pPr>
        <w:pStyle w:val="Heading1Custom"/>
      </w:pPr>
      <w:r>
        <w:rPr>
          <w:rFonts w:ascii="Arial" w:hAnsi="Arial" w:eastAsia="Arial" w:cs="Arial"/>
        </w:rPr>
        <w:t>11. Временное гражданство и гражданская принадлежность: выбор одного статуса или параллельный запуск</w:t>
      </w:r>
    </w:p>
    <w:p>
      <w:pPr/>
      <w:r>
        <w:rPr>
          <w:rFonts w:ascii="Arial" w:hAnsi="Arial" w:eastAsia="Arial" w:cs="Arial"/>
        </w:rPr>
        <w:t>1. модель выбора одного статуса: государство вправе рассмотреть временное гражданство и гражданскую принадлежность как два самостоятельных проекта и принять только один из них;</w:t>
      </w:r>
    </w:p>
    <w:p>
      <w:pPr/>
      <w:r>
        <w:rPr>
          <w:rFonts w:ascii="Arial" w:hAnsi="Arial" w:eastAsia="Arial" w:cs="Arial"/>
        </w:rPr>
        <w:t>2. модель параллельного запуска: государство вправе одновременно принять оба статуса и предоставить заявителю или уполномоченному органу выбор наилучшего маршрута в зависимости от степени интеграции, семейной ситуации и публичного интереса;</w:t>
      </w:r>
    </w:p>
    <w:p>
      <w:pPr/>
      <w:r>
        <w:rPr>
          <w:rFonts w:ascii="Arial" w:hAnsi="Arial" w:eastAsia="Arial" w:cs="Arial"/>
        </w:rPr>
        <w:t>3. модель поэтапного введения: гражданская принадлежность запускается первой как более быстрый законодательный трек, а временное гражданство вводится после прохождения конституционного маршрута;</w:t>
      </w:r>
    </w:p>
    <w:p>
      <w:pPr/>
      <w:r>
        <w:rPr>
          <w:rFonts w:ascii="Arial" w:hAnsi="Arial" w:eastAsia="Arial" w:cs="Arial"/>
        </w:rPr>
        <w:t>4. в нормативных текстах целесообразно прямо закрепить, что наличие гражданской принадлежности не препятствует последующему обращению за временным гражданством или полным гражданством, если лицо соответствует установленным законом критериям.</w:t>
      </w:r>
    </w:p>
    <w:p>
      <w:pPr>
        <w:pStyle w:val="Heading1Custom"/>
      </w:pPr>
      <w:r>
        <w:rPr>
          <w:rFonts w:ascii="Arial" w:hAnsi="Arial" w:eastAsia="Arial" w:cs="Arial"/>
        </w:rPr>
        <w:t>12. Раздел общественной поддержки реформы и личной поддержки Премьер-министра Республики Армения</w:t>
      </w:r>
    </w:p>
    <w:p>
      <w:pPr/>
      <w:r>
        <w:rPr>
          <w:rFonts w:ascii="Arial" w:hAnsi="Arial" w:eastAsia="Arial" w:cs="Arial"/>
        </w:rPr>
        <w:t>Сообщество релокантов, поддерживающее реформу, выражает личную политическую поддержку Премьер-министру Республики Армения Николу Пашиняну как руководителю, при котором Армения сохранила открытость к реформам, институциональному диалогу и правовой интеграции новых жителей.</w:t>
      </w:r>
    </w:p>
    <w:p>
      <w:pPr/>
      <w:r>
        <w:rPr>
          <w:rFonts w:ascii="Arial" w:hAnsi="Arial" w:eastAsia="Arial" w:cs="Arial"/>
        </w:rPr>
        <w:t>Сообщество заявляет о желании двигаться вместе с Николом Пашиняном и его политической командой в следующих электоральных циклах и связывать с этим курсом своё долгосрочное будущее в Армении. До приобретения предусмотренных законом избирательных прав такая поддержка выражается в общественной, экспертной, публичной и организационной плоскости; после получения соответствующего статуса и прав — также в политическом процессе в пределах, допускаемых Конституцией и законами Республики Армения.</w:t>
      </w:r>
    </w:p>
    <w:p>
      <w:pPr>
        <w:pStyle w:val="QuoteBox"/>
        <w:shd w:fill="F6F7F9" w:val="clear" w:color="auto"/>
        <w:pBdr>
          <w:left w:val="single" w:sz="10" w:space="6" w:color="C9D0DA"/>
        </w:pBdr>
      </w:pPr>
      <w:r>
        <w:rPr>
          <w:rFonts w:ascii="Arial" w:hAnsi="Arial" w:eastAsia="Arial" w:cs="Arial"/>
        </w:rPr>
        <w:t>Готовая формула для публичного использования: «Сообщество релокантов поддерживает Премьер-министра Никола Пашиняна и его реформаторский курс, связывает своё долгосрочное будущее с Арменией и по мере получения предусмотренных законом прав готово двигаться вместе с ним и его командой в будущих выборах».</w:t>
      </w:r>
    </w:p>
    <w:p>
      <w:r>
        <w:rPr>
          <w:rFonts w:ascii="Arial" w:hAnsi="Arial" w:eastAsia="Arial" w:cs="Arial"/>
        </w:rPr>
        <w:br w:type="page"/>
      </w:r>
    </w:p>
    <w:tbl>
      <w:tblPr>
        <w:tblW w:type="auto" w:w="0"/>
        <w:tblLook w:firstColumn="1" w:firstRow="1" w:lastColumn="0" w:lastRow="0" w:noHBand="0" w:noVBand="1" w:val="04A0"/>
        <w:tblCellMar>
          <w:top w:w="0" w:type="dxa"/>
          <w:start w:w="0" w:type="dxa"/>
          <w:bottom w:w="0" w:type="dxa"/>
          <w:end w:w="0" w:type="dxa"/>
        </w:tblCellMar>
        <w:jc w:val="center"/>
        <w:tblBorders>
          <w:top w:val="nil" w:sz="0" w:space="0" w:color="C9CED6"/>
          <w:left w:val="nil" w:sz="0" w:space="0" w:color="C9CED6"/>
          <w:bottom w:val="nil" w:sz="0" w:space="0" w:color="C9CED6"/>
          <w:right w:val="nil" w:sz="0" w:space="0" w:color="C9CED6"/>
          <w:insideH w:val="nil" w:sz="0" w:space="0" w:color="C9CED6"/>
          <w:insideV w:val="nil" w:sz="0" w:space="0" w:color="C9CED6"/>
        </w:tblBorders>
      </w:tblPr>
      <w:tblGrid>
        <w:gridCol w:w="3175"/>
        <w:gridCol w:w="3175"/>
        <w:gridCol w:w="3175"/>
      </w:tblGrid>
      <w:tr>
        <w:tc>
          <w:tcPr>
            <w:tcW w:type="dxa" w:w="3175"/>
            <w:shd w:fill="D90012"/>
            <w:tcBorders>
              <w:top w:sz="0" w:val="nil" w:color="FFFFFF"/>
              <w:bottom w:sz="0" w:val="nil" w:color="FFFFFF"/>
              <w:left w:sz="0" w:val="nil" w:color="FFFFFF"/>
              <w:right w:sz="0" w:val="nil" w:color="FFFFFF"/>
            </w:tcBorders>
            <w:vAlign w:val="center"/>
          </w:tcPr>
          <w:p>
            <w:pPr>
              <w:spacing w:after="50" w:before="0" w:line="269" w:lineRule="auto"/>
            </w:pPr>
          </w:p>
        </w:tc>
        <w:tc>
          <w:tcPr>
            <w:tcW w:type="dxa" w:w="3175"/>
            <w:shd w:fill="0033A0"/>
            <w:tcBorders>
              <w:top w:sz="0" w:val="nil" w:color="FFFFFF"/>
              <w:bottom w:sz="0" w:val="nil" w:color="FFFFFF"/>
              <w:left w:sz="0" w:val="nil" w:color="FFFFFF"/>
              <w:right w:sz="0" w:val="nil" w:color="FFFFFF"/>
            </w:tcBorders>
            <w:vAlign w:val="center"/>
          </w:tcPr>
          <w:p>
            <w:pPr>
              <w:spacing w:after="50" w:before="0" w:line="269" w:lineRule="auto"/>
            </w:pPr>
          </w:p>
        </w:tc>
        <w:tc>
          <w:tcPr>
            <w:tcW w:type="dxa" w:w="3175"/>
            <w:shd w:fill="F2A800"/>
            <w:tcBorders>
              <w:top w:sz="0" w:val="nil" w:color="FFFFFF"/>
              <w:bottom w:sz="0" w:val="nil" w:color="FFFFFF"/>
              <w:left w:sz="0" w:val="nil" w:color="FFFFFF"/>
              <w:right w:sz="0" w:val="nil" w:color="FFFFFF"/>
            </w:tcBorders>
            <w:vAlign w:val="center"/>
          </w:tcPr>
          <w:p>
            <w:pPr>
              <w:spacing w:after="50" w:before="0" w:line="269" w:lineRule="auto"/>
            </w:pPr>
          </w:p>
        </w:tc>
      </w:tr>
    </w:tbl>
    <w:p/>
    <w:p>
      <w:pPr>
        <w:pStyle w:val="SmallGray"/>
        <w:jc w:val="center"/>
      </w:pPr>
      <w:r>
        <w:rPr>
          <w:rFonts w:ascii="Arial" w:hAnsi="Arial" w:eastAsia="Arial" w:cs="Arial"/>
        </w:rPr>
        <w:t>ПАКЕТ 03 • РАБОЧАЯ РУССКОЯЗЫЧНАЯ РЕДАКЦИЯ ДЛЯ ГОСУДАРСТВЕННОГО ПРЕДСТАВЛЕНИЯ</w:t>
      </w:r>
    </w:p>
    <w:p>
      <w:pPr>
        <w:pStyle w:val="TitleCustom"/>
        <w:jc w:val="center"/>
      </w:pPr>
      <w:r>
        <w:rPr>
          <w:rFonts w:ascii="Arial" w:hAnsi="Arial" w:eastAsia="Arial" w:cs="Arial"/>
        </w:rPr>
        <w:t>Пакет по временному гражданству Республики Армения</w:t>
      </w:r>
    </w:p>
    <w:p>
      <w:pPr>
        <w:pStyle w:val="SubtitleCustom"/>
        <w:jc w:val="center"/>
      </w:pPr>
      <w:r>
        <w:rPr>
          <w:rFonts w:ascii="Arial" w:hAnsi="Arial" w:eastAsia="Arial" w:cs="Arial"/>
        </w:rPr>
        <w:t>Проект закона, сопровождающие поправки, мотивы, преимущества, риски и административная модель внедрения временного гражданства для интегрированных релокантов и иных заявителей</w:t>
      </w:r>
    </w:p>
    <w:tbl>
      <w:tblPr>
        <w:tblW w:type="auto" w:w="0"/>
        <w:tblLook w:firstColumn="1" w:firstRow="1" w:lastColumn="0" w:lastRow="0" w:noHBand="0" w:noVBand="1" w:val="04A0"/>
        <w:tblCellMar>
          <w:top w:w="85" w:type="dxa"/>
          <w:start w:w="100" w:type="dxa"/>
          <w:bottom w:w="85" w:type="dxa"/>
          <w:end w:w="100" w:type="dxa"/>
        </w:tblCellMar>
        <w:jc w:val="center"/>
        <w:tblBorders>
          <w:top w:val="single" w:sz="5" w:space="0" w:color="C9CED6"/>
          <w:left w:val="single" w:sz="5" w:space="0" w:color="C9CED6"/>
          <w:bottom w:val="single" w:sz="5" w:space="0" w:color="C9CED6"/>
          <w:right w:val="single" w:sz="5" w:space="0" w:color="C9CED6"/>
          <w:insideH w:val="single" w:sz="5" w:space="0" w:color="C9CED6"/>
          <w:insideV w:val="single" w:sz="5" w:space="0" w:color="C9CED6"/>
        </w:tblBorders>
      </w:tblPr>
      <w:tblGrid>
        <w:gridCol w:w="2268"/>
        <w:gridCol w:w="6520"/>
      </w:tblGrid>
      <w:tr>
        <w:tc>
          <w:tcPr>
            <w:tcW w:type="dxa" w:w="4762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  <w:shd w:fill="F5F7FA" w:color="auto" w:val="clear"/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/>
                <w:color w:val="27303A"/>
                <w:sz w:val="21"/>
              </w:rPr>
              <w:t>Дата</w:t>
            </w:r>
          </w:p>
        </w:tc>
        <w:tc>
          <w:tcPr>
            <w:tcW w:type="dxa" w:w="4762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</w:rPr>
              <w:t>28 марта 2026 года</w:t>
            </w:r>
          </w:p>
        </w:tc>
      </w:tr>
      <w:tr>
        <w:tc>
          <w:tcPr>
            <w:tcW w:type="dxa" w:w="4762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  <w:shd w:fill="F5F7FA" w:color="auto" w:val="clear"/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/>
                <w:color w:val="27303A"/>
                <w:sz w:val="21"/>
              </w:rPr>
              <w:t>Статус</w:t>
            </w:r>
          </w:p>
        </w:tc>
        <w:tc>
          <w:tcPr>
            <w:tcW w:type="dxa" w:w="4762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</w:rPr>
              <w:t>Подготовленный рабочий пакет для государственной презентации, подачи и последующей армяноязычной юридико-технической адаптации</w:t>
            </w:r>
          </w:p>
        </w:tc>
      </w:tr>
    </w:tbl>
    <w:p/>
    <w:p>
      <w:pPr>
        <w:pStyle w:val="QuoteBox"/>
        <w:shd w:fill="F6F7F9" w:val="clear" w:color="auto"/>
        <w:pBdr>
          <w:left w:val="single" w:sz="10" w:space="6" w:color="C9D0DA"/>
        </w:pBdr>
      </w:pPr>
      <w:r>
        <w:rPr>
          <w:rFonts w:ascii="Arial" w:hAnsi="Arial" w:eastAsia="Arial" w:cs="Arial"/>
          <w:b/>
        </w:rPr>
        <w:t xml:space="preserve">Примечание. </w:t>
      </w:r>
      <w:r>
        <w:rPr>
          <w:rFonts w:ascii="Arial" w:hAnsi="Arial" w:eastAsia="Arial" w:cs="Arial"/>
        </w:rPr>
        <w:t>Все проекты составлены на русском языке как рабочая версия для государственной презентации. Для официального внесения в органы Республики Армения требуется параллельная армяноязычная юридико-техническая редакция и финальная сверка с актуальными редакциями актов в ARLIS.</w:t>
      </w:r>
    </w:p>
    <w:p>
      <w:r>
        <w:rPr>
          <w:rFonts w:ascii="Arial" w:hAnsi="Arial" w:eastAsia="Arial" w:cs="Arial"/>
        </w:rPr>
        <w:br w:type="page"/>
      </w:r>
    </w:p>
    <w:p>
      <w:pPr>
        <w:pStyle w:val="Heading1Custom"/>
      </w:pPr>
      <w:r>
        <w:rPr>
          <w:rFonts w:ascii="Arial" w:hAnsi="Arial" w:eastAsia="Arial" w:cs="Arial"/>
        </w:rPr>
        <w:t>1. Назначение пакета</w:t>
      </w:r>
    </w:p>
    <w:p>
      <w:pPr/>
      <w:r>
        <w:rPr>
          <w:rFonts w:ascii="Arial" w:hAnsi="Arial" w:eastAsia="Arial" w:cs="Arial"/>
        </w:rPr>
        <w:t xml:space="preserve">Пакет формирует </w:t>
      </w:r>
      <w:r>
        <w:rPr>
          <w:rFonts w:ascii="Arial" w:hAnsi="Arial" w:eastAsia="Arial" w:cs="Arial"/>
          <w:b/>
        </w:rPr>
        <w:t>основную, наиболее амбициозную</w:t>
      </w:r>
      <w:r>
        <w:rPr>
          <w:rFonts w:ascii="Arial" w:hAnsi="Arial" w:eastAsia="Arial" w:cs="Arial"/>
        </w:rPr>
        <w:t xml:space="preserve"> модель реформы — временное гражданство Республики Армения сроком на три года. Он рассчитан на лиц, которые уже прожили в Армении не менее шести месяцев на законных основаниях, фактически интегрировались в армянскую юрисдикцию и нуждаются в более устойчивой правовой связи с государством.</w:t>
      </w:r>
    </w:p>
    <w:p>
      <w:pPr/>
      <w:r>
        <w:rPr>
          <w:rFonts w:ascii="Arial" w:hAnsi="Arial" w:eastAsia="Arial" w:cs="Arial"/>
        </w:rPr>
        <w:t xml:space="preserve">В этой модели временное гражданство строится как переходный статус, максимально приближенный к гражданству по набору прав, но </w:t>
      </w:r>
      <w:r>
        <w:rPr>
          <w:rFonts w:ascii="Arial" w:hAnsi="Arial" w:eastAsia="Arial" w:cs="Arial"/>
          <w:b/>
        </w:rPr>
        <w:t>без участия в выборах и референдумах</w:t>
      </w:r>
      <w:r>
        <w:rPr>
          <w:rFonts w:ascii="Arial" w:hAnsi="Arial" w:eastAsia="Arial" w:cs="Arial"/>
        </w:rPr>
        <w:t>. Именно такая логика соответствует исходному политическому замыслу: не держать людей в зоне документарной уязвимости, но и не менять сразу баланс политического представительства.</w:t>
      </w:r>
    </w:p>
    <w:p>
      <w:pPr>
        <w:pStyle w:val="Heading1Custom"/>
      </w:pPr>
      <w:r>
        <w:rPr>
          <w:rFonts w:ascii="Arial" w:hAnsi="Arial" w:eastAsia="Arial" w:cs="Arial"/>
        </w:rPr>
        <w:t>2. Состав пакета</w:t>
      </w:r>
    </w:p>
    <w:tbl>
      <w:tblPr>
        <w:tblStyle w:val="TableGrid"/>
        <w:tblW w:type="auto" w:w="0"/>
        <w:tblLayout w:type="fixed"/>
        <w:tblLook w:firstColumn="1" w:firstRow="1" w:lastColumn="0" w:lastRow="0" w:noHBand="0" w:noVBand="1" w:val="04A0"/>
        <w:tblCellMar>
          <w:top w:w="85" w:type="dxa"/>
          <w:start w:w="100" w:type="dxa"/>
          <w:bottom w:w="85" w:type="dxa"/>
          <w:end w:w="100" w:type="dxa"/>
        </w:tblCellMar>
        <w:jc w:val="center"/>
        <w:tblBorders>
          <w:top w:val="single" w:sz="5" w:space="0" w:color="C9CED6"/>
          <w:left w:val="single" w:sz="5" w:space="0" w:color="C9CED6"/>
          <w:bottom w:val="single" w:sz="5" w:space="0" w:color="C9CED6"/>
          <w:right w:val="single" w:sz="5" w:space="0" w:color="C9CED6"/>
          <w:insideH w:val="single" w:sz="5" w:space="0" w:color="C9CED6"/>
          <w:insideV w:val="single" w:sz="5" w:space="0" w:color="C9CED6"/>
        </w:tblBorders>
      </w:tblPr>
      <w:tblGrid>
        <w:gridCol w:w="4762"/>
        <w:gridCol w:w="4762"/>
      </w:tblGrid>
      <w:tr>
        <w:tc>
          <w:tcPr>
            <w:tcW w:type="dxa" w:w="2381"/>
            <w:shd w:fill="F5F7FA" w:color="auto" w:val="clear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50" w:before="0" w:line="269" w:lineRule="auto"/>
              <w:jc w:val="center"/>
            </w:pPr>
            <w:r>
              <w:rPr>
                <w:rFonts w:ascii="Arial" w:hAnsi="Arial" w:eastAsia="Arial" w:cs="Arial"/>
                <w:b/>
                <w:color w:val="27303A"/>
                <w:sz w:val="21"/>
              </w:rPr>
              <w:t>Раздел</w:t>
            </w:r>
          </w:p>
        </w:tc>
        <w:tc>
          <w:tcPr>
            <w:tcW w:type="dxa" w:w="6803"/>
            <w:shd w:fill="EEE7E0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50" w:before="0" w:line="269" w:lineRule="auto"/>
              <w:jc w:val="center"/>
            </w:pPr>
            <w:r>
              <w:rPr>
                <w:rFonts w:ascii="Arial" w:hAnsi="Arial" w:eastAsia="Arial" w:cs="Arial"/>
                <w:b/>
              </w:rPr>
              <w:t>Что включает</w:t>
            </w:r>
          </w:p>
        </w:tc>
      </w:tr>
      <w:tr>
        <w:tc>
          <w:tcPr>
            <w:tcW w:type="dxa" w:w="2381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  <w:tcMar>
              <w:top w:w="90" w:type="dxa"/>
              <w:left w:w="90" w:type="dxa"/>
              <w:bottom w:w="90" w:type="dxa"/>
              <w:right w:w="90" w:type="dxa"/>
            </w:tcMar>
            <w:shd w:fill="F5F7FA" w:color="auto" w:val="clear"/>
          </w:tcPr>
          <w:p>
            <w:pPr>
              <w:spacing w:after="50" w:before="0" w:line="269" w:lineRule="auto"/>
              <w:jc w:val="center"/>
            </w:pPr>
            <w:r>
              <w:rPr>
                <w:rFonts w:ascii="Arial" w:hAnsi="Arial" w:eastAsia="Arial" w:cs="Arial"/>
                <w:b/>
                <w:color w:val="27303A"/>
                <w:sz w:val="21"/>
              </w:rPr>
              <w:t>Проект закона</w:t>
            </w:r>
          </w:p>
        </w:tc>
        <w:tc>
          <w:tcPr>
            <w:tcW w:type="dxa" w:w="6803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</w:rPr>
              <w:t>Полный проект закона «О временном гражданстве Республики Армения».</w:t>
            </w:r>
          </w:p>
        </w:tc>
      </w:tr>
      <w:tr>
        <w:tc>
          <w:tcPr>
            <w:tcW w:type="dxa" w:w="2381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  <w:tcMar>
              <w:top w:w="90" w:type="dxa"/>
              <w:left w:w="90" w:type="dxa"/>
              <w:bottom w:w="90" w:type="dxa"/>
              <w:right w:w="90" w:type="dxa"/>
            </w:tcMar>
            <w:shd w:fill="F5F7FA" w:color="auto" w:val="clear"/>
          </w:tcPr>
          <w:p>
            <w:pPr>
              <w:spacing w:after="50" w:before="0" w:line="269" w:lineRule="auto"/>
              <w:jc w:val="center"/>
            </w:pPr>
            <w:r>
              <w:rPr>
                <w:rFonts w:ascii="Arial" w:hAnsi="Arial" w:eastAsia="Arial" w:cs="Arial"/>
                <w:b/>
                <w:color w:val="27303A"/>
                <w:sz w:val="21"/>
              </w:rPr>
              <w:t>Связанные изменения</w:t>
            </w:r>
          </w:p>
        </w:tc>
        <w:tc>
          <w:tcPr>
            <w:tcW w:type="dxa" w:w="6803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</w:rPr>
              <w:t>Поправки в Закон о гражданстве, в регулирование пошлин и в систему подзаконных актов.</w:t>
            </w:r>
          </w:p>
        </w:tc>
      </w:tr>
      <w:tr>
        <w:tc>
          <w:tcPr>
            <w:tcW w:type="dxa" w:w="2381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  <w:tcMar>
              <w:top w:w="90" w:type="dxa"/>
              <w:left w:w="90" w:type="dxa"/>
              <w:bottom w:w="90" w:type="dxa"/>
              <w:right w:w="90" w:type="dxa"/>
            </w:tcMar>
            <w:shd w:fill="F5F7FA" w:color="auto" w:val="clear"/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/>
                <w:color w:val="27303A"/>
                <w:sz w:val="21"/>
              </w:rPr>
              <w:t>Пояснительная записка</w:t>
            </w:r>
          </w:p>
        </w:tc>
        <w:tc>
          <w:tcPr>
            <w:tcW w:type="dxa" w:w="6803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</w:rPr>
              <w:t>Цели, мотивы, преимущества, риски, ожидаемый эффект.</w:t>
            </w:r>
          </w:p>
        </w:tc>
      </w:tr>
      <w:tr>
        <w:tc>
          <w:tcPr>
            <w:tcW w:type="dxa" w:w="2381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  <w:tcMar>
              <w:top w:w="90" w:type="dxa"/>
              <w:left w:w="90" w:type="dxa"/>
              <w:bottom w:w="90" w:type="dxa"/>
              <w:right w:w="90" w:type="dxa"/>
            </w:tcMar>
            <w:shd w:fill="F5F7FA" w:color="auto" w:val="clear"/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/>
                <w:color w:val="27303A"/>
                <w:sz w:val="21"/>
              </w:rPr>
              <w:t>Модель администрирования</w:t>
            </w:r>
          </w:p>
        </w:tc>
        <w:tc>
          <w:tcPr>
            <w:tcW w:type="dxa" w:w="6803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</w:rPr>
              <w:t>Порядок подачи, проверки, документирования, отказа и прекращения статуса.</w:t>
            </w:r>
          </w:p>
        </w:tc>
      </w:tr>
      <w:tr>
        <w:tc>
          <w:tcPr>
            <w:tcW w:type="dxa" w:w="2381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  <w:tcMar>
              <w:top w:w="90" w:type="dxa"/>
              <w:left w:w="90" w:type="dxa"/>
              <w:bottom w:w="90" w:type="dxa"/>
              <w:right w:w="90" w:type="dxa"/>
            </w:tcMar>
            <w:shd w:fill="F5F7FA" w:color="auto" w:val="clear"/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/>
                <w:color w:val="27303A"/>
                <w:sz w:val="21"/>
              </w:rPr>
              <w:t>Коммуникационный блок</w:t>
            </w:r>
          </w:p>
        </w:tc>
        <w:tc>
          <w:tcPr>
            <w:tcW w:type="dxa" w:w="6803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</w:rPr>
              <w:t>Краткая формула презентации статуса для государственных органов и общественности.</w:t>
            </w:r>
          </w:p>
        </w:tc>
      </w:tr>
    </w:tbl>
    <w:p/>
    <w:p>
      <w:pPr>
        <w:pStyle w:val="Heading1Custom"/>
      </w:pPr>
      <w:r>
        <w:rPr>
          <w:rFonts w:ascii="Arial" w:hAnsi="Arial" w:eastAsia="Arial" w:cs="Arial"/>
        </w:rPr>
        <w:t>3. Цели, мотивы и преимущества</w:t>
      </w:r>
    </w:p>
    <w:p>
      <w:pPr>
        <w:pStyle w:val="Heading2Custom"/>
      </w:pPr>
      <w:r>
        <w:rPr>
          <w:rFonts w:ascii="Arial" w:hAnsi="Arial" w:eastAsia="Arial" w:cs="Arial"/>
        </w:rPr>
        <w:t>3.1. Цели</w:t>
      </w:r>
    </w:p>
    <w:p>
      <w:pPr>
        <w:spacing w:after="60"/>
        <w:ind w:left="340" w:hanging="198"/>
      </w:pPr>
      <w:r>
        <w:rPr>
          <w:rFonts w:ascii="Arial" w:hAnsi="Arial" w:eastAsia="Arial" w:cs="Arial"/>
          <w:b/>
        </w:rPr>
        <w:t xml:space="preserve">• </w:t>
      </w:r>
      <w:r>
        <w:rPr>
          <w:rFonts w:ascii="Arial" w:hAnsi="Arial" w:eastAsia="Arial" w:cs="Arial"/>
        </w:rPr>
        <w:t xml:space="preserve">дать заявителю после шести месяцев законного проживания </w:t>
      </w:r>
      <w:r>
        <w:rPr>
          <w:rFonts w:ascii="Arial" w:hAnsi="Arial" w:eastAsia="Arial" w:cs="Arial"/>
          <w:b/>
        </w:rPr>
        <w:t>трёхлетний защищённый статус</w:t>
      </w:r>
      <w:r>
        <w:rPr>
          <w:rFonts w:ascii="Arial" w:hAnsi="Arial" w:eastAsia="Arial" w:cs="Arial"/>
        </w:rPr>
        <w:t xml:space="preserve"> с прочной связью с Республикой Армения;</w:t>
      </w:r>
    </w:p>
    <w:p>
      <w:pPr>
        <w:spacing w:after="60"/>
        <w:ind w:left="340" w:hanging="198"/>
      </w:pPr>
      <w:r>
        <w:rPr>
          <w:rFonts w:ascii="Arial" w:hAnsi="Arial" w:eastAsia="Arial" w:cs="Arial"/>
          <w:b/>
        </w:rPr>
        <w:t xml:space="preserve">• </w:t>
      </w:r>
      <w:r>
        <w:rPr>
          <w:rFonts w:ascii="Arial" w:hAnsi="Arial" w:eastAsia="Arial" w:cs="Arial"/>
        </w:rPr>
        <w:t>создать безопасный мост от фактической интеграции к полному гражданству Республики Армения;</w:t>
      </w:r>
    </w:p>
    <w:p>
      <w:pPr>
        <w:spacing w:after="60"/>
        <w:ind w:left="340" w:hanging="198"/>
      </w:pPr>
      <w:r>
        <w:rPr>
          <w:rFonts w:ascii="Arial" w:hAnsi="Arial" w:eastAsia="Arial" w:cs="Arial"/>
          <w:b/>
        </w:rPr>
        <w:t xml:space="preserve">• </w:t>
      </w:r>
      <w:r>
        <w:rPr>
          <w:rFonts w:ascii="Arial" w:hAnsi="Arial" w:eastAsia="Arial" w:cs="Arial"/>
        </w:rPr>
        <w:t>устранить ситуацию, когда человек живёт в Армении, но по ключевым вопросам документов и правового положения остаётся критически зависим от возвращения в небезопасную юрисдикцию.</w:t>
      </w:r>
    </w:p>
    <w:p>
      <w:pPr>
        <w:spacing w:after="60"/>
        <w:ind w:left="340" w:hanging="198"/>
      </w:pPr>
      <w:r>
        <w:rPr>
          <w:rFonts w:ascii="Arial" w:hAnsi="Arial" w:eastAsia="Arial" w:cs="Arial"/>
          <w:b/>
        </w:rPr>
        <w:t xml:space="preserve">• </w:t>
      </w:r>
      <w:r>
        <w:rPr>
          <w:rFonts w:ascii="Arial" w:hAnsi="Arial" w:eastAsia="Arial" w:cs="Arial"/>
        </w:rPr>
        <w:t>обеспечить запрет выдачи временного гражданина иностранному государству при сохранении государственного контроля за безопасностью и законностью.</w:t>
      </w:r>
    </w:p>
    <w:p>
      <w:pPr>
        <w:pStyle w:val="Heading2Custom"/>
      </w:pPr>
      <w:r>
        <w:rPr>
          <w:rFonts w:ascii="Arial" w:hAnsi="Arial" w:eastAsia="Arial" w:cs="Arial"/>
        </w:rPr>
        <w:t>3.2. Мотивы</w:t>
      </w:r>
    </w:p>
    <w:p>
      <w:pPr>
        <w:spacing w:after="60"/>
        <w:ind w:left="340" w:hanging="198"/>
      </w:pPr>
      <w:r>
        <w:rPr>
          <w:rFonts w:ascii="Arial" w:hAnsi="Arial" w:eastAsia="Arial" w:cs="Arial"/>
          <w:b/>
        </w:rPr>
        <w:t xml:space="preserve">• </w:t>
      </w:r>
      <w:r>
        <w:rPr>
          <w:rFonts w:ascii="Arial" w:hAnsi="Arial" w:eastAsia="Arial" w:cs="Arial"/>
        </w:rPr>
        <w:t>значительная часть релокантов уже работает, учится, арендует жильё, содержит семьи и участвует в экономике Армении;</w:t>
      </w:r>
    </w:p>
    <w:p>
      <w:pPr>
        <w:spacing w:after="60"/>
        <w:ind w:left="340" w:hanging="198"/>
      </w:pPr>
      <w:r>
        <w:rPr>
          <w:rFonts w:ascii="Arial" w:hAnsi="Arial" w:eastAsia="Arial" w:cs="Arial"/>
          <w:b/>
        </w:rPr>
        <w:t xml:space="preserve">• </w:t>
      </w:r>
      <w:r>
        <w:rPr>
          <w:rFonts w:ascii="Arial" w:hAnsi="Arial" w:eastAsia="Arial" w:cs="Arial"/>
        </w:rPr>
        <w:t xml:space="preserve">существующие виды пребывания дают право жить, но не всегда создают достаточный уровень </w:t>
      </w:r>
      <w:r>
        <w:rPr>
          <w:rFonts w:ascii="Arial" w:hAnsi="Arial" w:eastAsia="Arial" w:cs="Arial"/>
          <w:b/>
        </w:rPr>
        <w:t>юридической прочности и долгосрочной защищённости</w:t>
      </w:r>
      <w:r>
        <w:rPr>
          <w:rFonts w:ascii="Arial" w:hAnsi="Arial" w:eastAsia="Arial" w:cs="Arial"/>
        </w:rPr>
        <w:t>;</w:t>
      </w:r>
    </w:p>
    <w:p>
      <w:pPr>
        <w:spacing w:after="60"/>
        <w:ind w:left="340" w:hanging="198"/>
      </w:pPr>
      <w:r>
        <w:rPr>
          <w:rFonts w:ascii="Arial" w:hAnsi="Arial" w:eastAsia="Arial" w:cs="Arial"/>
          <w:b/>
        </w:rPr>
        <w:t xml:space="preserve">• </w:t>
      </w:r>
      <w:r>
        <w:rPr>
          <w:rFonts w:ascii="Arial" w:hAnsi="Arial" w:eastAsia="Arial" w:cs="Arial"/>
        </w:rPr>
        <w:t>Армения уже использует трёхлетний горизонт как базовый критерий для обычной натурализации, поэтому трёхлетний срок временного гражданства встроен в действующую логику законодательства.</w:t>
      </w:r>
    </w:p>
    <w:p>
      <w:pPr>
        <w:pStyle w:val="Heading2Custom"/>
      </w:pPr>
      <w:r>
        <w:rPr>
          <w:rFonts w:ascii="Arial" w:hAnsi="Arial" w:eastAsia="Arial" w:cs="Arial"/>
        </w:rPr>
        <w:t>3.3. Преимущества</w:t>
      </w:r>
    </w:p>
    <w:p>
      <w:pPr>
        <w:spacing w:after="60"/>
        <w:ind w:left="340" w:hanging="198"/>
      </w:pPr>
      <w:r>
        <w:rPr>
          <w:rFonts w:ascii="Arial" w:hAnsi="Arial" w:eastAsia="Arial" w:cs="Arial"/>
          <w:b/>
        </w:rPr>
        <w:t xml:space="preserve">• </w:t>
      </w:r>
      <w:r>
        <w:rPr>
          <w:rFonts w:ascii="Arial" w:hAnsi="Arial" w:eastAsia="Arial" w:cs="Arial"/>
          <w:b/>
        </w:rPr>
        <w:t>Для заявителя:</w:t>
      </w:r>
      <w:r>
        <w:rPr>
          <w:rFonts w:ascii="Arial" w:hAnsi="Arial" w:eastAsia="Arial" w:cs="Arial"/>
        </w:rPr>
        <w:t xml:space="preserve"> стабильный статус, защищённость от выдачи, законная связь с Арменией, право планировать будущее, ясная траектория к полному гражданству.</w:t>
      </w:r>
    </w:p>
    <w:p>
      <w:pPr>
        <w:spacing w:after="60"/>
        <w:ind w:left="340" w:hanging="198"/>
      </w:pPr>
      <w:r>
        <w:rPr>
          <w:rFonts w:ascii="Arial" w:hAnsi="Arial" w:eastAsia="Arial" w:cs="Arial"/>
          <w:b/>
        </w:rPr>
        <w:t xml:space="preserve">• </w:t>
      </w:r>
      <w:r>
        <w:rPr>
          <w:rFonts w:ascii="Arial" w:hAnsi="Arial" w:eastAsia="Arial" w:cs="Arial"/>
          <w:b/>
        </w:rPr>
        <w:t>Для Армении:</w:t>
      </w:r>
      <w:r>
        <w:rPr>
          <w:rFonts w:ascii="Arial" w:hAnsi="Arial" w:eastAsia="Arial" w:cs="Arial"/>
        </w:rPr>
        <w:t xml:space="preserve"> удержание человеческого капитала, рост налоговой базы, репутационный эффект, институционализация уже существующего факта интеграции.</w:t>
      </w:r>
    </w:p>
    <w:p>
      <w:pPr>
        <w:spacing w:after="60"/>
        <w:ind w:left="340" w:hanging="198"/>
      </w:pPr>
      <w:r>
        <w:rPr>
          <w:rFonts w:ascii="Arial" w:hAnsi="Arial" w:eastAsia="Arial" w:cs="Arial"/>
          <w:b/>
        </w:rPr>
        <w:t xml:space="preserve">• </w:t>
      </w:r>
      <w:r>
        <w:rPr>
          <w:rFonts w:ascii="Arial" w:hAnsi="Arial" w:eastAsia="Arial" w:cs="Arial"/>
          <w:b/>
        </w:rPr>
        <w:t>Для правовой системы:</w:t>
      </w:r>
      <w:r>
        <w:rPr>
          <w:rFonts w:ascii="Arial" w:hAnsi="Arial" w:eastAsia="Arial" w:cs="Arial"/>
        </w:rPr>
        <w:t xml:space="preserve"> единые правила вместо разрозненных индивидуальных решений и постоянно продлеваемых режимов проживания.</w:t>
      </w:r>
    </w:p>
    <w:p>
      <w:pPr>
        <w:pStyle w:val="Heading1Custom"/>
      </w:pPr>
      <w:r>
        <w:rPr>
          <w:rFonts w:ascii="Arial" w:hAnsi="Arial" w:eastAsia="Arial" w:cs="Arial"/>
        </w:rPr>
        <w:t>4. Проект закона «О временном гражданстве Республики Армения»</w:t>
      </w:r>
    </w:p>
    <w:p>
      <w:pPr>
        <w:pStyle w:val="SmallGray"/>
      </w:pPr>
      <w:r>
        <w:rPr>
          <w:rFonts w:ascii="Arial" w:hAnsi="Arial" w:eastAsia="Arial" w:cs="Arial"/>
        </w:rPr>
        <w:t>Проект</w:t>
      </w:r>
    </w:p>
    <w:p>
      <w:pPr>
        <w:pStyle w:val="Heading2Custom"/>
      </w:pPr>
      <w:r>
        <w:rPr>
          <w:rFonts w:ascii="Arial" w:hAnsi="Arial" w:eastAsia="Arial" w:cs="Arial"/>
        </w:rPr>
        <w:t>ЗАКОН РЕСПУБЛИКИ АРМЕНИЯ «О ВРЕМЕННОМ ГРАЖДАНСТВЕ РЕСПУБЛИКИ АРМЕНИЯ»</w:t>
      </w:r>
    </w:p>
    <w:p>
      <w:pPr>
        <w:pStyle w:val="Heading2Custom"/>
      </w:pPr>
      <w:r>
        <w:rPr>
          <w:rFonts w:ascii="Arial" w:hAnsi="Arial" w:eastAsia="Arial" w:cs="Arial"/>
        </w:rPr>
        <w:t>Глава 1. Общие положения</w:t>
      </w:r>
    </w:p>
    <w:p>
      <w:pPr/>
      <w:r>
        <w:rPr>
          <w:rFonts w:ascii="Arial" w:hAnsi="Arial" w:eastAsia="Arial" w:cs="Arial"/>
          <w:b/>
        </w:rPr>
        <w:t>Статья 1. Предмет закона.</w:t>
      </w:r>
      <w:r>
        <w:rPr>
          <w:rFonts w:ascii="Arial" w:hAnsi="Arial" w:eastAsia="Arial" w:cs="Arial"/>
        </w:rPr>
        <w:t xml:space="preserve"> Настоящий закон регулирует основания, порядок приобретения, срок действия, объём прав и обязанностей, основания прекращения временного гражданства Республики Армения, а также порядок перехода от временного гражданства к полному гражданству Республики Армения.</w:t>
      </w:r>
    </w:p>
    <w:p>
      <w:pPr/>
      <w:r>
        <w:rPr>
          <w:rFonts w:ascii="Arial" w:hAnsi="Arial" w:eastAsia="Arial" w:cs="Arial"/>
          <w:b/>
        </w:rPr>
        <w:t>Статья 2. Понятие временного гражданства.</w:t>
      </w:r>
      <w:r>
        <w:rPr>
          <w:rFonts w:ascii="Arial" w:hAnsi="Arial" w:eastAsia="Arial" w:cs="Arial"/>
        </w:rPr>
        <w:t xml:space="preserve"> Временное гражданство Республики Армения — это установленная законом особая форма временной, но устойчивой правовой связи лица с Республикой Армения, предоставляющая широкий объём прав, близкий к объёму прав гражданина, при отсутствии права участвовать в выборах и референдумах в случаях, предусмотренных Конституцией и законом.</w:t>
      </w:r>
    </w:p>
    <w:p>
      <w:pPr/>
      <w:r>
        <w:rPr>
          <w:rFonts w:ascii="Arial" w:hAnsi="Arial" w:eastAsia="Arial" w:cs="Arial"/>
          <w:b/>
        </w:rPr>
        <w:t>Статья 3. Принципы.</w:t>
      </w:r>
      <w:r>
        <w:rPr>
          <w:rFonts w:ascii="Arial" w:hAnsi="Arial" w:eastAsia="Arial" w:cs="Arial"/>
        </w:rPr>
        <w:t xml:space="preserve"> Временное гражданство основывается на принципах законности, недискриминации, индивидуальной оценки, добросовестности заявителя, учёта интересов национальной безопасности и уважения к правам человека.</w:t>
      </w:r>
    </w:p>
    <w:p>
      <w:pPr>
        <w:pStyle w:val="Heading2Custom"/>
      </w:pPr>
      <w:r>
        <w:rPr>
          <w:rFonts w:ascii="Arial" w:hAnsi="Arial" w:eastAsia="Arial" w:cs="Arial"/>
        </w:rPr>
        <w:t>Глава 2. Основания и условия предоставления</w:t>
      </w:r>
    </w:p>
    <w:p>
      <w:pPr/>
      <w:r>
        <w:rPr>
          <w:rFonts w:ascii="Arial" w:hAnsi="Arial" w:eastAsia="Arial" w:cs="Arial"/>
          <w:b/>
        </w:rPr>
        <w:t>Статья 4. Право на обращение.</w:t>
      </w:r>
      <w:r>
        <w:rPr>
          <w:rFonts w:ascii="Arial" w:hAnsi="Arial" w:eastAsia="Arial" w:cs="Arial"/>
        </w:rPr>
        <w:t xml:space="preserve"> Иностранный гражданин или лицо без гражданства, достигшее восемнадцати лет, вправе обратиться за временным гражданством, если он или она: (1) законно проживает в Республике Армения не менее шести месяцев; (2) имеет документально подтверждённую личность; (3) не представляет угрозы национальной безопасности, общественному порядку, здоровью населения или правам других лиц; (4) не осуждён(а) за тяжкое насильственное преступление либо преступление против человечности, если иное не вытекает из решения уполномоченного органа с учётом принципа пропорциональности.</w:t>
      </w:r>
    </w:p>
    <w:p>
      <w:pPr/>
      <w:r>
        <w:rPr>
          <w:rFonts w:ascii="Arial" w:hAnsi="Arial" w:eastAsia="Arial" w:cs="Arial"/>
          <w:b/>
        </w:rPr>
        <w:t>Статья 5. Подтверждение интеграции.</w:t>
      </w:r>
      <w:r>
        <w:rPr>
          <w:rFonts w:ascii="Arial" w:hAnsi="Arial" w:eastAsia="Arial" w:cs="Arial"/>
        </w:rPr>
        <w:t xml:space="preserve"> Заявитель представляет сведения о фактическом проживании в Армении, трудовой или предпринимательской деятельности, обучении, семейных связях, аренде или собственности на жильё, уплате налогов либо иных обстоятельствах, подтверждающих реальную связь с Республикой Армения.</w:t>
      </w:r>
    </w:p>
    <w:p>
      <w:pPr/>
      <w:r>
        <w:rPr>
          <w:rFonts w:ascii="Arial" w:hAnsi="Arial" w:eastAsia="Arial" w:cs="Arial"/>
          <w:b/>
        </w:rPr>
        <w:t>Статья 6. Срок временного гражданства.</w:t>
      </w:r>
      <w:r>
        <w:rPr>
          <w:rFonts w:ascii="Arial" w:hAnsi="Arial" w:eastAsia="Arial" w:cs="Arial"/>
        </w:rPr>
        <w:t xml:space="preserve"> Временное гражданство предоставляется сроком на три года. Повторное предоставление не допускается, за исключением случая, когда лицо подало заявление о приёме в полное гражданство Республики Армения и решение по нему не принято по независящим от лица причинам; в таком случае временное гражданство продлевается до принятия окончательного решения.</w:t>
      </w:r>
    </w:p>
    <w:p>
      <w:pPr>
        <w:pStyle w:val="Heading2Custom"/>
      </w:pPr>
      <w:r>
        <w:rPr>
          <w:rFonts w:ascii="Arial" w:hAnsi="Arial" w:eastAsia="Arial" w:cs="Arial"/>
        </w:rPr>
        <w:t>Глава 3. Права и обязанности временного гражданина</w:t>
      </w:r>
    </w:p>
    <w:p>
      <w:pPr/>
      <w:r>
        <w:rPr>
          <w:rFonts w:ascii="Arial" w:hAnsi="Arial" w:eastAsia="Arial" w:cs="Arial"/>
          <w:b/>
        </w:rPr>
        <w:t>Статья 7. Основные права временного гражданина.</w:t>
      </w:r>
      <w:r>
        <w:rPr>
          <w:rFonts w:ascii="Arial" w:hAnsi="Arial" w:eastAsia="Arial" w:cs="Arial"/>
        </w:rPr>
        <w:t xml:space="preserve"> Временный гражданин имеет право: (1) законно проживать в Республике Армения в течение срока статуса; (2) въезжать в Республику Армения и выезжать из неё в порядке, установленном законом; (3) работать по найму, заниматься предпринимательской и иной не запрещённой законом деятельностью; (4) пользоваться судебной, административной и полицейской защитой наравне с гражданами, если иное прямо не предусмотрено Конституцией; (5) получать образование, медицинскую помощь, банковские и гражданско-правовые услуги на условиях, определяемых законами Республики Армения; (6) владеть имуществом и совершать сделки в объёме, допускаемом законодательством Республики Армения; (7) обращаться за полным гражданством Республики Армения в течение срока временного гражданства.</w:t>
      </w:r>
    </w:p>
    <w:p>
      <w:pPr/>
      <w:r>
        <w:rPr>
          <w:rFonts w:ascii="Arial" w:hAnsi="Arial" w:eastAsia="Arial" w:cs="Arial"/>
          <w:b/>
        </w:rPr>
        <w:t>Статья 8. Ограничения.</w:t>
      </w:r>
      <w:r>
        <w:rPr>
          <w:rFonts w:ascii="Arial" w:hAnsi="Arial" w:eastAsia="Arial" w:cs="Arial"/>
        </w:rPr>
        <w:t xml:space="preserve"> Временное гражданство не предоставляет права участвовать в выборах, местных выборах, референдумах и местных референдумах, а также иных политических прав в той мере, в какой такие ограничения прямо вытекают из Конституции Республики Армения.</w:t>
      </w:r>
    </w:p>
    <w:p>
      <w:pPr/>
      <w:r>
        <w:rPr>
          <w:rFonts w:ascii="Arial" w:hAnsi="Arial" w:eastAsia="Arial" w:cs="Arial"/>
          <w:b/>
        </w:rPr>
        <w:t>Статья 9. Запрет выдачи.</w:t>
      </w:r>
      <w:r>
        <w:rPr>
          <w:rFonts w:ascii="Arial" w:hAnsi="Arial" w:eastAsia="Arial" w:cs="Arial"/>
        </w:rPr>
        <w:t xml:space="preserve"> Временный гражданин не может быть выдан иностранному государству. Прекращение временного гражданства не допускается, если единственной или преобладающей целью прекращения является обход запрета выдачи.</w:t>
      </w:r>
    </w:p>
    <w:p>
      <w:pPr/>
      <w:r>
        <w:rPr>
          <w:rFonts w:ascii="Arial" w:hAnsi="Arial" w:eastAsia="Arial" w:cs="Arial"/>
          <w:b/>
        </w:rPr>
        <w:t>Статья 10. Обязанности временного гражданина.</w:t>
      </w:r>
      <w:r>
        <w:rPr>
          <w:rFonts w:ascii="Arial" w:hAnsi="Arial" w:eastAsia="Arial" w:cs="Arial"/>
        </w:rPr>
        <w:t xml:space="preserve"> Временный гражданин обязан соблюдать Конституцию и законы Республики Армения, уважать государственный язык и общественный порядок, уплачивать налоги и иные обязательные платежи, сообщать об изменении адреса, гражданства и обстоятельств, имеющих значение для статуса.</w:t>
      </w:r>
    </w:p>
    <w:p>
      <w:pPr>
        <w:pStyle w:val="Heading2Custom"/>
      </w:pPr>
      <w:r>
        <w:rPr>
          <w:rFonts w:ascii="Arial" w:hAnsi="Arial" w:eastAsia="Arial" w:cs="Arial"/>
        </w:rPr>
        <w:t>Глава 4. Документы и административная процедура</w:t>
      </w:r>
    </w:p>
    <w:p>
      <w:pPr/>
      <w:r>
        <w:rPr>
          <w:rFonts w:ascii="Arial" w:hAnsi="Arial" w:eastAsia="Arial" w:cs="Arial"/>
          <w:b/>
        </w:rPr>
        <w:t>Статья 11. Документ временного гражданина.</w:t>
      </w:r>
      <w:r>
        <w:rPr>
          <w:rFonts w:ascii="Arial" w:hAnsi="Arial" w:eastAsia="Arial" w:cs="Arial"/>
        </w:rPr>
        <w:t xml:space="preserve"> Лицу, получившему временное гражданство, выдаётся документ временного гражданина Республики Армения. Закон и решения Правительства могут предусмотреть также выдачу документа для возвращения в Республику Армения и иных документов, не противоречащих международному праву.</w:t>
      </w:r>
    </w:p>
    <w:p>
      <w:pPr/>
      <w:r>
        <w:rPr>
          <w:rFonts w:ascii="Arial" w:hAnsi="Arial" w:eastAsia="Arial" w:cs="Arial"/>
          <w:b/>
        </w:rPr>
        <w:t>Статья 12. Важная оговорка о международном признании документов.</w:t>
      </w:r>
      <w:r>
        <w:rPr>
          <w:rFonts w:ascii="Arial" w:hAnsi="Arial" w:eastAsia="Arial" w:cs="Arial"/>
        </w:rPr>
        <w:t xml:space="preserve"> Документ временного гражданина подтверждает статус в правовой системе Армении и право возвращения в Армению, но сам по себе не гарантирует признание третьими государствами в качестве замены национального паспорта государства происхождения заявителя.</w:t>
      </w:r>
    </w:p>
    <w:p>
      <w:pPr/>
      <w:r>
        <w:rPr>
          <w:rFonts w:ascii="Arial" w:hAnsi="Arial" w:eastAsia="Arial" w:cs="Arial"/>
          <w:b/>
        </w:rPr>
        <w:t>Статья 13. Рассмотрение заявления.</w:t>
      </w:r>
      <w:r>
        <w:rPr>
          <w:rFonts w:ascii="Arial" w:hAnsi="Arial" w:eastAsia="Arial" w:cs="Arial"/>
        </w:rPr>
        <w:t xml:space="preserve"> Заявление подаётся в уполномоченный орган по вопросам миграции и гражданства лично либо в электронной форме с последующей личной идентификацией. Срок рассмотрения — до девяноста дней, с возможностью продления ещё на шестьдесят дней по мотивированным основаниям безопасности.</w:t>
      </w:r>
    </w:p>
    <w:p>
      <w:pPr/>
      <w:r>
        <w:rPr>
          <w:rFonts w:ascii="Arial" w:hAnsi="Arial" w:eastAsia="Arial" w:cs="Arial"/>
          <w:b/>
        </w:rPr>
        <w:t>Статья 14. Отказ.</w:t>
      </w:r>
      <w:r>
        <w:rPr>
          <w:rFonts w:ascii="Arial" w:hAnsi="Arial" w:eastAsia="Arial" w:cs="Arial"/>
        </w:rPr>
        <w:t xml:space="preserve"> В предоставлении временного гражданства может быть отказано, если заявитель представил ложные сведения, скрывает существенные обстоятельства, представляет угрозу национальной безопасности или общественному порядку, либо если установлены иные основания, прямо предусмотренные законом.</w:t>
      </w:r>
    </w:p>
    <w:p>
      <w:pPr>
        <w:pStyle w:val="Heading2Custom"/>
      </w:pPr>
      <w:r>
        <w:rPr>
          <w:rFonts w:ascii="Arial" w:hAnsi="Arial" w:eastAsia="Arial" w:cs="Arial"/>
        </w:rPr>
        <w:t>Глава 5. Переход к полному гражданству</w:t>
      </w:r>
    </w:p>
    <w:p>
      <w:pPr/>
      <w:r>
        <w:rPr>
          <w:rFonts w:ascii="Arial" w:hAnsi="Arial" w:eastAsia="Arial" w:cs="Arial"/>
          <w:b/>
        </w:rPr>
        <w:t>Статья 15. Право на обращение за полным гражданством.</w:t>
      </w:r>
      <w:r>
        <w:rPr>
          <w:rFonts w:ascii="Arial" w:hAnsi="Arial" w:eastAsia="Arial" w:cs="Arial"/>
        </w:rPr>
        <w:t xml:space="preserve"> Временный гражданин вправе обратиться за приобретением полного гражданства Республики Армения в любой момент в течение срока временного гражданства. При рассмотрении такого заявления учитываются факт законного проживания до получения временного гражданства, срок самого временного гражданства, владение армянским языком, знакомство с Конституцией Республики Армения и иные критерии, установленные законом.</w:t>
      </w:r>
    </w:p>
    <w:p>
      <w:pPr/>
      <w:r>
        <w:rPr>
          <w:rFonts w:ascii="Arial" w:hAnsi="Arial" w:eastAsia="Arial" w:cs="Arial"/>
          <w:b/>
        </w:rPr>
        <w:t>Статья 16. Упрощённая процедура.</w:t>
      </w:r>
      <w:r>
        <w:rPr>
          <w:rFonts w:ascii="Arial" w:hAnsi="Arial" w:eastAsia="Arial" w:cs="Arial"/>
        </w:rPr>
        <w:t xml:space="preserve"> Закон о гражданстве Республики Армения может предусмотреть упрощённую процедуру приёма в гражданство для временных граждан, если они добросовестно исполняли обязанности, не нарушали закон и подтвердили устойчивую интеграцию в армянское общество.</w:t>
      </w:r>
    </w:p>
    <w:p>
      <w:pPr>
        <w:pStyle w:val="Heading2Custom"/>
      </w:pPr>
      <w:r>
        <w:rPr>
          <w:rFonts w:ascii="Arial" w:hAnsi="Arial" w:eastAsia="Arial" w:cs="Arial"/>
        </w:rPr>
        <w:t>Глава 6. Прекращение временного гражданства</w:t>
      </w:r>
    </w:p>
    <w:p>
      <w:pPr/>
      <w:r>
        <w:rPr>
          <w:rFonts w:ascii="Arial" w:hAnsi="Arial" w:eastAsia="Arial" w:cs="Arial"/>
          <w:b/>
        </w:rPr>
        <w:t>Статья 17. Основания прекращения.</w:t>
      </w:r>
      <w:r>
        <w:rPr>
          <w:rFonts w:ascii="Arial" w:hAnsi="Arial" w:eastAsia="Arial" w:cs="Arial"/>
        </w:rPr>
        <w:t xml:space="preserve"> Временное гражданство прекращается: (1) по истечении срока; (2) при приобретении полного гражданства Республики Армения; (3) по добровольному отказу; (4) в случае установления факта представления заведомо ложных документов; (5) в случае утраты оснований при наличии угрозы национальной безопасности — по мотивированному решению суда или иного органа в порядке, установленном законом.</w:t>
      </w:r>
    </w:p>
    <w:p>
      <w:pPr/>
      <w:r>
        <w:rPr>
          <w:rFonts w:ascii="Arial" w:hAnsi="Arial" w:eastAsia="Arial" w:cs="Arial"/>
          <w:b/>
        </w:rPr>
        <w:t>Статья 18. Гарантии при прекращении.</w:t>
      </w:r>
      <w:r>
        <w:rPr>
          <w:rFonts w:ascii="Arial" w:hAnsi="Arial" w:eastAsia="Arial" w:cs="Arial"/>
        </w:rPr>
        <w:t xml:space="preserve"> Прекращение статуса не освобождает государство от соблюдения конституционного запрета выдачи, гарантий от высылки в условиях риска пыток или бесчеловечного обращения, а также иных международных обязательств Республики Армения.</w:t>
      </w:r>
    </w:p>
    <w:p>
      <w:pPr/>
      <w:r>
        <w:rPr>
          <w:rFonts w:ascii="Arial" w:hAnsi="Arial" w:eastAsia="Arial" w:cs="Arial"/>
          <w:b/>
        </w:rPr>
        <w:t>Статья 19. Вступление закона в силу.</w:t>
      </w:r>
      <w:r>
        <w:rPr>
          <w:rFonts w:ascii="Arial" w:hAnsi="Arial" w:eastAsia="Arial" w:cs="Arial"/>
        </w:rPr>
        <w:t xml:space="preserve"> Закон вступает в силу одновременно с конституционными поправками, создающими правовую основу временного гражданства.</w:t>
      </w:r>
    </w:p>
    <w:p>
      <w:pPr>
        <w:pStyle w:val="Heading1Custom"/>
      </w:pPr>
      <w:r>
        <w:rPr>
          <w:rFonts w:ascii="Arial" w:hAnsi="Arial" w:eastAsia="Arial" w:cs="Arial"/>
        </w:rPr>
        <w:t>5. Предлагаемые сопутствующие изменения</w:t>
      </w:r>
    </w:p>
    <w:p>
      <w:pPr>
        <w:spacing w:after="60"/>
        <w:ind w:left="340" w:hanging="198"/>
      </w:pPr>
      <w:r>
        <w:rPr>
          <w:rFonts w:ascii="Arial" w:hAnsi="Arial" w:eastAsia="Arial" w:cs="Arial"/>
          <w:b/>
        </w:rPr>
        <w:t xml:space="preserve">• </w:t>
      </w:r>
      <w:r>
        <w:rPr>
          <w:rFonts w:ascii="Arial" w:hAnsi="Arial" w:eastAsia="Arial" w:cs="Arial"/>
          <w:b/>
        </w:rPr>
        <w:t>Закон о гражданстве Республики Армения.</w:t>
      </w:r>
      <w:r>
        <w:rPr>
          <w:rFonts w:ascii="Arial" w:hAnsi="Arial" w:eastAsia="Arial" w:cs="Arial"/>
        </w:rPr>
        <w:t xml:space="preserve"> Следует добавить норму, признающую временное гражданство самостоятельной переходной формой правовой связи и допускающую упрощённое обращение за полным гражданством во время действия временного гражданства.</w:t>
      </w:r>
    </w:p>
    <w:p>
      <w:pPr>
        <w:spacing w:after="60"/>
        <w:ind w:left="340" w:hanging="198"/>
      </w:pPr>
      <w:r>
        <w:rPr>
          <w:rFonts w:ascii="Arial" w:hAnsi="Arial" w:eastAsia="Arial" w:cs="Arial"/>
          <w:b/>
        </w:rPr>
        <w:t xml:space="preserve">• </w:t>
      </w:r>
      <w:r>
        <w:rPr>
          <w:rFonts w:ascii="Arial" w:hAnsi="Arial" w:eastAsia="Arial" w:cs="Arial"/>
          <w:b/>
        </w:rPr>
        <w:t>Закон о государственной пошлине.</w:t>
      </w:r>
      <w:r>
        <w:rPr>
          <w:rFonts w:ascii="Arial" w:hAnsi="Arial" w:eastAsia="Arial" w:cs="Arial"/>
        </w:rPr>
        <w:t xml:space="preserve"> Следует ввести отдельную ставку пошлины за рассмотрение заявления, выдачу документа временного гражданина и продление статуса до завершения процедуры натурализации.</w:t>
      </w:r>
    </w:p>
    <w:p>
      <w:pPr>
        <w:spacing w:after="60"/>
        <w:ind w:left="340" w:hanging="198"/>
      </w:pPr>
      <w:r>
        <w:rPr>
          <w:rFonts w:ascii="Arial" w:hAnsi="Arial" w:eastAsia="Arial" w:cs="Arial"/>
          <w:b/>
        </w:rPr>
        <w:t xml:space="preserve">• </w:t>
      </w:r>
      <w:r>
        <w:rPr>
          <w:rFonts w:ascii="Arial" w:hAnsi="Arial" w:eastAsia="Arial" w:cs="Arial"/>
          <w:b/>
        </w:rPr>
        <w:t>Подзаконные акты Правительства.</w:t>
      </w:r>
      <w:r>
        <w:rPr>
          <w:rFonts w:ascii="Arial" w:hAnsi="Arial" w:eastAsia="Arial" w:cs="Arial"/>
        </w:rPr>
        <w:t xml:space="preserve"> Необходимы решения о форме документа временного гражданина, о порядке межведомственной проверки, о цифровом реестре, о перечне документов и о стандарте проверки рисков.</w:t>
      </w:r>
    </w:p>
    <w:p>
      <w:pPr>
        <w:spacing w:after="60"/>
        <w:ind w:left="340" w:hanging="198"/>
      </w:pPr>
      <w:r>
        <w:rPr>
          <w:rFonts w:ascii="Arial" w:hAnsi="Arial" w:eastAsia="Arial" w:cs="Arial"/>
          <w:b/>
        </w:rPr>
        <w:t xml:space="preserve">• </w:t>
      </w:r>
      <w:r>
        <w:rPr>
          <w:rFonts w:ascii="Arial" w:hAnsi="Arial" w:eastAsia="Arial" w:cs="Arial"/>
          <w:b/>
        </w:rPr>
        <w:t>Смежное регулирование документов.</w:t>
      </w:r>
      <w:r>
        <w:rPr>
          <w:rFonts w:ascii="Arial" w:hAnsi="Arial" w:eastAsia="Arial" w:cs="Arial"/>
        </w:rPr>
        <w:t xml:space="preserve"> При необходимости должны быть приведены в соответствие акты о документах, удостоверяющих личность, реестрах населения, порядке въезда и выезда и административных услугах.</w:t>
      </w:r>
    </w:p>
    <w:p>
      <w:pPr>
        <w:pStyle w:val="Heading1Custom"/>
      </w:pPr>
      <w:r>
        <w:rPr>
          <w:rFonts w:ascii="Arial" w:hAnsi="Arial" w:eastAsia="Arial" w:cs="Arial"/>
        </w:rPr>
        <w:t>6. Пояснительная записка</w:t>
      </w:r>
    </w:p>
    <w:p>
      <w:pPr>
        <w:pStyle w:val="Heading2Custom"/>
      </w:pPr>
      <w:r>
        <w:rPr>
          <w:rFonts w:ascii="Arial" w:hAnsi="Arial" w:eastAsia="Arial" w:cs="Arial"/>
        </w:rPr>
        <w:t>6.1. Почему срок — три года</w:t>
      </w:r>
    </w:p>
    <w:p>
      <w:pPr/>
      <w:r>
        <w:rPr>
          <w:rFonts w:ascii="Arial" w:hAnsi="Arial" w:eastAsia="Arial" w:cs="Arial"/>
        </w:rPr>
        <w:t>Трёхлетний срок выбран не случайно. Он согласуется с действующей логикой армянской натурализации, где постоянное законное проживание в течение трёх лет уже служит обычным базовым критерием для получения гражданства. Тем самым временное гражданство не создаёт конкурирующий горизонт, а встроено в уже существующую правовую архитектуру.</w:t>
      </w:r>
    </w:p>
    <w:p>
      <w:pPr>
        <w:pStyle w:val="Heading2Custom"/>
      </w:pPr>
      <w:r>
        <w:rPr>
          <w:rFonts w:ascii="Arial" w:hAnsi="Arial" w:eastAsia="Arial" w:cs="Arial"/>
        </w:rPr>
        <w:t>6.2. Почему критерий проживания — шесть месяцев</w:t>
      </w:r>
    </w:p>
    <w:p>
      <w:pPr/>
      <w:r>
        <w:rPr>
          <w:rFonts w:ascii="Arial" w:hAnsi="Arial" w:eastAsia="Arial" w:cs="Arial"/>
        </w:rPr>
        <w:t>Шесть месяцев — это минимальный срок, который позволяет отличить случайное краткосрочное пребывание от реального укоренения в стране. Он достаточно короток, чтобы защитить реально интегрировавшихся людей, и достаточно длинен, чтобы государство успело увидеть базовую добросовестность и связь лица с Арменией.</w:t>
      </w:r>
    </w:p>
    <w:p>
      <w:pPr>
        <w:pStyle w:val="Heading2Custom"/>
      </w:pPr>
      <w:r>
        <w:rPr>
          <w:rFonts w:ascii="Arial" w:hAnsi="Arial" w:eastAsia="Arial" w:cs="Arial"/>
        </w:rPr>
        <w:t>6.3. Как проект отвечает на проблему документов</w:t>
      </w:r>
    </w:p>
    <w:p>
      <w:pPr/>
      <w:r>
        <w:rPr>
          <w:rFonts w:ascii="Arial" w:hAnsi="Arial" w:eastAsia="Arial" w:cs="Arial"/>
        </w:rPr>
        <w:t>Проект не обещает невозможного: он не утверждает, что Армения может принудить третьи государства принимать армянский документ вместо национального паспорта заявителя. Зато он решает то, что Армения действительно может решить: даёт собственный статус, собственную правовую защиту, собственный документ статуса и гарантированный путь возвращения в Армению.</w:t>
      </w:r>
    </w:p>
    <w:p>
      <w:pPr>
        <w:pStyle w:val="Heading2Custom"/>
      </w:pPr>
      <w:r>
        <w:rPr>
          <w:rFonts w:ascii="Arial" w:hAnsi="Arial" w:eastAsia="Arial" w:cs="Arial"/>
        </w:rPr>
        <w:t>6.4. Почему ограничение только одно</w:t>
      </w:r>
    </w:p>
    <w:p>
      <w:pPr/>
      <w:r>
        <w:rPr>
          <w:rFonts w:ascii="Arial" w:hAnsi="Arial" w:eastAsia="Arial" w:cs="Arial"/>
        </w:rPr>
        <w:t xml:space="preserve">Идея проекта состоит в том, чтобы временное гражданство было </w:t>
      </w:r>
      <w:r>
        <w:rPr>
          <w:rFonts w:ascii="Arial" w:hAnsi="Arial" w:eastAsia="Arial" w:cs="Arial"/>
          <w:b/>
        </w:rPr>
        <w:t>максимально близким к гражданству по правам</w:t>
      </w:r>
      <w:r>
        <w:rPr>
          <w:rFonts w:ascii="Arial" w:hAnsi="Arial" w:eastAsia="Arial" w:cs="Arial"/>
        </w:rPr>
        <w:t>, а потому основное и прямое ограничение в нём — это невозможность участия в выборах и референдумах. Если государство сочтёт необходимым вводить дополнительные ограничения, это должно быть отдельно и прямо обосновано, а не предполагаться по умолчанию.</w:t>
      </w:r>
    </w:p>
    <w:p>
      <w:pPr>
        <w:pStyle w:val="Heading1Custom"/>
      </w:pPr>
      <w:r>
        <w:rPr>
          <w:rFonts w:ascii="Arial" w:hAnsi="Arial" w:eastAsia="Arial" w:cs="Arial"/>
        </w:rPr>
        <w:t>7. Риски и предохранители</w:t>
      </w:r>
    </w:p>
    <w:p>
      <w:pPr>
        <w:spacing w:after="60"/>
        <w:ind w:left="340" w:hanging="198"/>
      </w:pPr>
      <w:r>
        <w:rPr>
          <w:rFonts w:ascii="Arial" w:hAnsi="Arial" w:eastAsia="Arial" w:cs="Arial"/>
          <w:b/>
        </w:rPr>
        <w:t xml:space="preserve">• </w:t>
      </w:r>
      <w:r>
        <w:rPr>
          <w:rFonts w:ascii="Arial" w:hAnsi="Arial" w:eastAsia="Arial" w:cs="Arial"/>
          <w:b/>
        </w:rPr>
        <w:t>Риск злоупотребления статусом.</w:t>
      </w:r>
      <w:r>
        <w:rPr>
          <w:rFonts w:ascii="Arial" w:hAnsi="Arial" w:eastAsia="Arial" w:cs="Arial"/>
        </w:rPr>
        <w:t xml:space="preserve"> Предохранитель: индивидуальная проверка, межведомственный обмен данными, отказ по основаниям национальной безопасности и серьёзной криминальной опасности.</w:t>
      </w:r>
    </w:p>
    <w:p>
      <w:pPr>
        <w:spacing w:after="60"/>
        <w:ind w:left="340" w:hanging="198"/>
      </w:pPr>
      <w:r>
        <w:rPr>
          <w:rFonts w:ascii="Arial" w:hAnsi="Arial" w:eastAsia="Arial" w:cs="Arial"/>
          <w:b/>
        </w:rPr>
        <w:t xml:space="preserve">• </w:t>
      </w:r>
      <w:r>
        <w:rPr>
          <w:rFonts w:ascii="Arial" w:hAnsi="Arial" w:eastAsia="Arial" w:cs="Arial"/>
          <w:b/>
        </w:rPr>
        <w:t>Риск нереалистичных ожиданий от армянского документа.</w:t>
      </w:r>
      <w:r>
        <w:rPr>
          <w:rFonts w:ascii="Arial" w:hAnsi="Arial" w:eastAsia="Arial" w:cs="Arial"/>
        </w:rPr>
        <w:t xml:space="preserve"> Предохранитель: прямая норма закона о том, что документ временного гражданина не заменяет автоматически национальный паспорт в отношениях с третьими государствами.</w:t>
      </w:r>
    </w:p>
    <w:p>
      <w:pPr>
        <w:spacing w:after="60"/>
        <w:ind w:left="340" w:hanging="198"/>
      </w:pPr>
      <w:r>
        <w:rPr>
          <w:rFonts w:ascii="Arial" w:hAnsi="Arial" w:eastAsia="Arial" w:cs="Arial"/>
          <w:b/>
        </w:rPr>
        <w:t xml:space="preserve">• </w:t>
      </w:r>
      <w:r>
        <w:rPr>
          <w:rFonts w:ascii="Arial" w:hAnsi="Arial" w:eastAsia="Arial" w:cs="Arial"/>
          <w:b/>
        </w:rPr>
        <w:t>Риск политической критики.</w:t>
      </w:r>
      <w:r>
        <w:rPr>
          <w:rFonts w:ascii="Arial" w:hAnsi="Arial" w:eastAsia="Arial" w:cs="Arial"/>
        </w:rPr>
        <w:t xml:space="preserve"> Предохранитель: публично подчёркивать, что проект сохраняет неприкосновенность избирательного корпуса и не вмешивается в распределение политической власти.</w:t>
      </w:r>
    </w:p>
    <w:p>
      <w:pPr>
        <w:spacing w:after="60"/>
        <w:ind w:left="340" w:hanging="198"/>
      </w:pPr>
      <w:r>
        <w:rPr>
          <w:rFonts w:ascii="Arial" w:hAnsi="Arial" w:eastAsia="Arial" w:cs="Arial"/>
          <w:b/>
        </w:rPr>
        <w:t xml:space="preserve">• </w:t>
      </w:r>
      <w:r>
        <w:rPr>
          <w:rFonts w:ascii="Arial" w:hAnsi="Arial" w:eastAsia="Arial" w:cs="Arial"/>
          <w:b/>
        </w:rPr>
        <w:t>Риск административной перегрузки.</w:t>
      </w:r>
      <w:r>
        <w:rPr>
          <w:rFonts w:ascii="Arial" w:hAnsi="Arial" w:eastAsia="Arial" w:cs="Arial"/>
        </w:rPr>
        <w:t xml:space="preserve"> Предохранитель: запускать закон через ограниченный переходный период, цифровую подачу и единый регламент Миграционной и гражданской службы.</w:t>
      </w:r>
    </w:p>
    <w:p>
      <w:pPr>
        <w:pStyle w:val="Heading1Custom"/>
      </w:pPr>
      <w:r>
        <w:rPr>
          <w:rFonts w:ascii="Arial" w:hAnsi="Arial" w:eastAsia="Arial" w:cs="Arial"/>
        </w:rPr>
        <w:t>8. Рекомендуемая формула презентации пакета государству</w:t>
      </w:r>
    </w:p>
    <w:p>
      <w:pPr/>
      <w:r>
        <w:rPr>
          <w:rFonts w:ascii="Arial" w:hAnsi="Arial" w:eastAsia="Arial" w:cs="Arial"/>
        </w:rPr>
        <w:t>Временное гражданство следует представлять не как идеологическую новацию, а как управляемый переходный институт: Армения получает лояльных, интегрированных и проверенных будущих граждан, удерживает человеческий капитал, усиливает налоговую и предпринимательскую базу, закрепляет семьи и повышает свою региональную конкурентоспособность как безопасная и правовая юрисдикция.</w:t>
      </w:r>
    </w:p>
    <w:p>
      <w:pPr>
        <w:pStyle w:val="Heading1Custom"/>
      </w:pPr>
      <w:r>
        <w:rPr>
          <w:rFonts w:ascii="Arial" w:hAnsi="Arial" w:eastAsia="Arial" w:cs="Arial"/>
        </w:rPr>
        <w:t>9. Перечень приложений к пакету</w:t>
      </w:r>
    </w:p>
    <w:p>
      <w:pPr>
        <w:spacing w:after="60"/>
        <w:ind w:left="340" w:hanging="198"/>
      </w:pPr>
      <w:r>
        <w:rPr>
          <w:rFonts w:ascii="Arial" w:hAnsi="Arial" w:eastAsia="Arial" w:cs="Arial"/>
          <w:b/>
        </w:rPr>
        <w:t xml:space="preserve">• </w:t>
      </w:r>
      <w:r>
        <w:rPr>
          <w:rFonts w:ascii="Arial" w:hAnsi="Arial" w:eastAsia="Arial" w:cs="Arial"/>
        </w:rPr>
        <w:t>сопроводительное письмо в Правительство Республики Армения;</w:t>
      </w:r>
    </w:p>
    <w:p>
      <w:pPr>
        <w:spacing w:after="60"/>
        <w:ind w:left="340" w:hanging="198"/>
      </w:pPr>
      <w:r>
        <w:rPr>
          <w:rFonts w:ascii="Arial" w:hAnsi="Arial" w:eastAsia="Arial" w:cs="Arial"/>
          <w:b/>
        </w:rPr>
        <w:t xml:space="preserve">• </w:t>
      </w:r>
      <w:r>
        <w:rPr>
          <w:rFonts w:ascii="Arial" w:hAnsi="Arial" w:eastAsia="Arial" w:cs="Arial"/>
        </w:rPr>
        <w:t>таблица различий между временным гражданством, полным гражданством и специальной гражданской принадлежностью;</w:t>
      </w:r>
    </w:p>
    <w:p>
      <w:pPr>
        <w:spacing w:after="60"/>
        <w:ind w:left="340" w:hanging="198"/>
      </w:pPr>
      <w:r>
        <w:rPr>
          <w:rFonts w:ascii="Arial" w:hAnsi="Arial" w:eastAsia="Arial" w:cs="Arial"/>
          <w:b/>
        </w:rPr>
        <w:t xml:space="preserve">• </w:t>
      </w:r>
      <w:r>
        <w:rPr>
          <w:rFonts w:ascii="Arial" w:hAnsi="Arial" w:eastAsia="Arial" w:cs="Arial"/>
        </w:rPr>
        <w:t>FAQ для депутатов, министерств и СМИ;</w:t>
      </w:r>
    </w:p>
    <w:p>
      <w:pPr>
        <w:spacing w:after="60"/>
        <w:ind w:left="340" w:hanging="198"/>
      </w:pPr>
      <w:r>
        <w:rPr>
          <w:rFonts w:ascii="Arial" w:hAnsi="Arial" w:eastAsia="Arial" w:cs="Arial"/>
          <w:b/>
        </w:rPr>
        <w:t xml:space="preserve">• </w:t>
      </w:r>
      <w:r>
        <w:rPr>
          <w:rFonts w:ascii="Arial" w:hAnsi="Arial" w:eastAsia="Arial" w:cs="Arial"/>
        </w:rPr>
        <w:t>проект постановления Правительства о порядке подачи и о форме документа временного гражданина (концептуальный);</w:t>
      </w:r>
    </w:p>
    <w:p>
      <w:pPr>
        <w:spacing w:after="60"/>
        <w:ind w:left="340" w:hanging="198"/>
      </w:pPr>
      <w:r>
        <w:rPr>
          <w:rFonts w:ascii="Arial" w:hAnsi="Arial" w:eastAsia="Arial" w:cs="Arial"/>
          <w:b/>
        </w:rPr>
        <w:t xml:space="preserve">• </w:t>
      </w:r>
      <w:r>
        <w:rPr>
          <w:rFonts w:ascii="Arial" w:hAnsi="Arial" w:eastAsia="Arial" w:cs="Arial"/>
        </w:rPr>
        <w:t>краткое резюме на одну страницу.</w:t>
      </w:r>
    </w:p>
    <w:p>
      <w:pPr>
        <w:pStyle w:val="QuoteBox"/>
        <w:shd w:fill="F6F7F9" w:val="clear" w:color="auto"/>
        <w:pBdr>
          <w:left w:val="single" w:sz="10" w:space="6" w:color="C9D0DA"/>
        </w:pBdr>
      </w:pPr>
      <w:r>
        <w:rPr>
          <w:rFonts w:ascii="Arial" w:hAnsi="Arial" w:eastAsia="Arial" w:cs="Arial"/>
          <w:b/>
        </w:rPr>
        <w:t xml:space="preserve">Базовые официальные опоры пакета: </w:t>
      </w:r>
      <w:r>
        <w:rPr>
          <w:rFonts w:ascii="Arial" w:hAnsi="Arial" w:eastAsia="Arial" w:cs="Arial"/>
        </w:rPr>
        <w:t>Конституция Республики Армения (ARLIS, статьи 40, 47, 48, 55, 202); Закон Республики Армения «О гражданстве Республики Армения» (ARLIS, статьи 5, 9, 13, 26); Официальная страница МИД Армении о гражданстве; Официальная страница МИД Армении о special residency status; Официальная страница Правительства Республики Армения о структуре Правительства; Официальная страница Президента Республики Армения</w:t>
      </w:r>
    </w:p>
    <w:p>
      <w:pPr>
        <w:pStyle w:val="Heading1Custom"/>
      </w:pPr>
      <w:r>
        <w:rPr>
          <w:rFonts w:ascii="Arial" w:hAnsi="Arial" w:eastAsia="Arial" w:cs="Arial"/>
        </w:rPr>
        <w:t>10. Что именно получает Армения от введения временного гражданства</w:t>
      </w:r>
    </w:p>
    <w:p>
      <w:pPr/>
      <w:r>
        <w:rPr>
          <w:rFonts w:ascii="Arial" w:hAnsi="Arial" w:eastAsia="Arial" w:cs="Arial"/>
        </w:rPr>
        <w:t>• трёхлетнее временное гражданство переводит экономически активного человека из режима постоянной неопределённости в режим долгосрочного вклада в страну;</w:t>
      </w:r>
    </w:p>
    <w:p>
      <w:pPr/>
      <w:r>
        <w:rPr>
          <w:rFonts w:ascii="Arial" w:hAnsi="Arial" w:eastAsia="Arial" w:cs="Arial"/>
        </w:rPr>
        <w:t>• государство получает более высокий горизонт налогового и инвестиционного планирования, потому что заявитель перестаёт жить в логике ежемесячного риска потери статуса;</w:t>
      </w:r>
    </w:p>
    <w:p>
      <w:pPr/>
      <w:r>
        <w:rPr>
          <w:rFonts w:ascii="Arial" w:hAnsi="Arial" w:eastAsia="Arial" w:cs="Arial"/>
        </w:rPr>
        <w:t>• повышается вероятность того, что релокант откроет или расширит бизнес именно в Армении, а не перенесёт его в конкурирующую юрисдикцию;</w:t>
      </w:r>
    </w:p>
    <w:p>
      <w:pPr/>
      <w:r>
        <w:rPr>
          <w:rFonts w:ascii="Arial" w:hAnsi="Arial" w:eastAsia="Arial" w:cs="Arial"/>
        </w:rPr>
        <w:t>• Армения получает новую воронку будущих граждан, уже проживших в стране, проверенных государством и мотивированных связать жизнь с армянской юрисдикцией;</w:t>
      </w:r>
    </w:p>
    <w:p>
      <w:pPr/>
      <w:r>
        <w:rPr>
          <w:rFonts w:ascii="Arial" w:hAnsi="Arial" w:eastAsia="Arial" w:cs="Arial"/>
        </w:rPr>
        <w:t>• усиливается лояльность к армянским институтам, поскольку государство не просто разрешает жить, а предлагает справедливый и защищённый правовой маршрут.</w:t>
      </w:r>
    </w:p>
    <w:p>
      <w:pPr>
        <w:pStyle w:val="Heading1Custom"/>
      </w:pPr>
      <w:r>
        <w:rPr>
          <w:rFonts w:ascii="Arial" w:hAnsi="Arial" w:eastAsia="Arial" w:cs="Arial"/>
        </w:rPr>
        <w:t>11. Временное гражданство и гражданская принадлежность: выбор одного статуса или параллельный запуск</w:t>
      </w:r>
    </w:p>
    <w:p>
      <w:pPr/>
      <w:r>
        <w:rPr>
          <w:rFonts w:ascii="Arial" w:hAnsi="Arial" w:eastAsia="Arial" w:cs="Arial"/>
        </w:rPr>
        <w:t>1. модель выбора одного статуса: государство вправе рассмотреть временное гражданство и гражданскую принадлежность как два самостоятельных проекта и принять только один из них;</w:t>
      </w:r>
    </w:p>
    <w:p>
      <w:pPr/>
      <w:r>
        <w:rPr>
          <w:rFonts w:ascii="Arial" w:hAnsi="Arial" w:eastAsia="Arial" w:cs="Arial"/>
        </w:rPr>
        <w:t>2. модель параллельного запуска: государство вправе одновременно принять оба статуса и предоставить заявителю или уполномоченному органу выбор наилучшего маршрута в зависимости от степени интеграции, семейной ситуации и публичного интереса;</w:t>
      </w:r>
    </w:p>
    <w:p>
      <w:pPr/>
      <w:r>
        <w:rPr>
          <w:rFonts w:ascii="Arial" w:hAnsi="Arial" w:eastAsia="Arial" w:cs="Arial"/>
        </w:rPr>
        <w:t>3. модель поэтапного введения: гражданская принадлежность запускается первой как более быстрый законодательный трек, а временное гражданство вводится после прохождения конституционного маршрута;</w:t>
      </w:r>
    </w:p>
    <w:p>
      <w:pPr/>
      <w:r>
        <w:rPr>
          <w:rFonts w:ascii="Arial" w:hAnsi="Arial" w:eastAsia="Arial" w:cs="Arial"/>
        </w:rPr>
        <w:t>4. в нормативных текстах целесообразно прямо закрепить, что наличие гражданской принадлежности не препятствует последующему обращению за временным гражданством или полным гражданством, если лицо соответствует установленным законом критериям.</w:t>
      </w:r>
    </w:p>
    <w:p>
      <w:pPr>
        <w:pStyle w:val="Heading1Custom"/>
      </w:pPr>
      <w:r>
        <w:rPr>
          <w:rFonts w:ascii="Arial" w:hAnsi="Arial" w:eastAsia="Arial" w:cs="Arial"/>
        </w:rPr>
        <w:t>12. Раздел общественной поддержки реформы и личной поддержки Премьер-министра Республики Армения</w:t>
      </w:r>
    </w:p>
    <w:p>
      <w:pPr/>
      <w:r>
        <w:rPr>
          <w:rFonts w:ascii="Arial" w:hAnsi="Arial" w:eastAsia="Arial" w:cs="Arial"/>
        </w:rPr>
        <w:t>Сообщество релокантов, поддерживающее реформу, выражает личную политическую поддержку Премьер-министру Республики Армения Николу Пашиняну как руководителю, при котором Армения сохранила открытость к реформам, институциональному диалогу и правовой интеграции новых жителей.</w:t>
      </w:r>
    </w:p>
    <w:p>
      <w:pPr/>
      <w:r>
        <w:rPr>
          <w:rFonts w:ascii="Arial" w:hAnsi="Arial" w:eastAsia="Arial" w:cs="Arial"/>
        </w:rPr>
        <w:t>Сообщество заявляет о желании двигаться вместе с Николом Пашиняном и его политической командой в следующих электоральных циклах и связывать с этим курсом своё долгосрочное будущее в Армении. До приобретения предусмотренных законом избирательных прав такая поддержка выражается в общественной, экспертной, публичной и организационной плоскости; после получения соответствующего статуса и прав — также в политическом процессе в пределах, допускаемых Конституцией и законами Республики Армения.</w:t>
      </w:r>
    </w:p>
    <w:p>
      <w:pPr>
        <w:pStyle w:val="QuoteBox"/>
        <w:shd w:fill="F6F7F9" w:val="clear" w:color="auto"/>
        <w:pBdr>
          <w:left w:val="single" w:sz="10" w:space="6" w:color="C9D0DA"/>
        </w:pBdr>
      </w:pPr>
      <w:r>
        <w:rPr>
          <w:rFonts w:ascii="Arial" w:hAnsi="Arial" w:eastAsia="Arial" w:cs="Arial"/>
        </w:rPr>
        <w:t>Готовая формула для публичного использования: «Сообщество релокантов поддерживает Премьер-министра Никола Пашиняна и его реформаторский курс, связывает своё долгосрочное будущее с Арменией и по мере получения предусмотренных законом прав готово двигаться вместе с ним и его командой в будущих выборах».</w:t>
      </w:r>
    </w:p>
    <w:p>
      <w:r>
        <w:rPr>
          <w:rFonts w:ascii="Arial" w:hAnsi="Arial" w:eastAsia="Arial" w:cs="Arial"/>
        </w:rPr>
        <w:br w:type="page"/>
      </w:r>
    </w:p>
    <w:tbl>
      <w:tblPr>
        <w:tblW w:type="auto" w:w="0"/>
        <w:tblLook w:firstColumn="1" w:firstRow="1" w:lastColumn="0" w:lastRow="0" w:noHBand="0" w:noVBand="1" w:val="04A0"/>
        <w:tblCellMar>
          <w:top w:w="0" w:type="dxa"/>
          <w:start w:w="0" w:type="dxa"/>
          <w:bottom w:w="0" w:type="dxa"/>
          <w:end w:w="0" w:type="dxa"/>
        </w:tblCellMar>
        <w:jc w:val="center"/>
        <w:tblBorders>
          <w:top w:val="nil" w:sz="0" w:space="0" w:color="C9CED6"/>
          <w:left w:val="nil" w:sz="0" w:space="0" w:color="C9CED6"/>
          <w:bottom w:val="nil" w:sz="0" w:space="0" w:color="C9CED6"/>
          <w:right w:val="nil" w:sz="0" w:space="0" w:color="C9CED6"/>
          <w:insideH w:val="nil" w:sz="0" w:space="0" w:color="C9CED6"/>
          <w:insideV w:val="nil" w:sz="0" w:space="0" w:color="C9CED6"/>
        </w:tblBorders>
      </w:tblPr>
      <w:tblGrid>
        <w:gridCol w:w="3175"/>
        <w:gridCol w:w="3175"/>
        <w:gridCol w:w="3175"/>
      </w:tblGrid>
      <w:tr>
        <w:tc>
          <w:tcPr>
            <w:tcW w:type="dxa" w:w="3175"/>
            <w:shd w:fill="D90012"/>
            <w:tcBorders>
              <w:top w:sz="0" w:val="nil" w:color="FFFFFF"/>
              <w:bottom w:sz="0" w:val="nil" w:color="FFFFFF"/>
              <w:left w:sz="0" w:val="nil" w:color="FFFFFF"/>
              <w:right w:sz="0" w:val="nil" w:color="FFFFFF"/>
            </w:tcBorders>
            <w:vAlign w:val="center"/>
          </w:tcPr>
          <w:p>
            <w:pPr>
              <w:spacing w:after="50" w:before="0" w:line="269" w:lineRule="auto"/>
            </w:pPr>
          </w:p>
        </w:tc>
        <w:tc>
          <w:tcPr>
            <w:tcW w:type="dxa" w:w="3175"/>
            <w:shd w:fill="0033A0"/>
            <w:tcBorders>
              <w:top w:sz="0" w:val="nil" w:color="FFFFFF"/>
              <w:bottom w:sz="0" w:val="nil" w:color="FFFFFF"/>
              <w:left w:sz="0" w:val="nil" w:color="FFFFFF"/>
              <w:right w:sz="0" w:val="nil" w:color="FFFFFF"/>
            </w:tcBorders>
            <w:vAlign w:val="center"/>
          </w:tcPr>
          <w:p>
            <w:pPr>
              <w:spacing w:after="50" w:before="0" w:line="269" w:lineRule="auto"/>
            </w:pPr>
          </w:p>
        </w:tc>
        <w:tc>
          <w:tcPr>
            <w:tcW w:type="dxa" w:w="3175"/>
            <w:shd w:fill="F2A800"/>
            <w:tcBorders>
              <w:top w:sz="0" w:val="nil" w:color="FFFFFF"/>
              <w:bottom w:sz="0" w:val="nil" w:color="FFFFFF"/>
              <w:left w:sz="0" w:val="nil" w:color="FFFFFF"/>
              <w:right w:sz="0" w:val="nil" w:color="FFFFFF"/>
            </w:tcBorders>
            <w:vAlign w:val="center"/>
          </w:tcPr>
          <w:p>
            <w:pPr>
              <w:spacing w:after="50" w:before="0" w:line="269" w:lineRule="auto"/>
            </w:pPr>
          </w:p>
        </w:tc>
      </w:tr>
    </w:tbl>
    <w:p/>
    <w:p>
      <w:pPr>
        <w:pStyle w:val="SmallGray"/>
        <w:jc w:val="center"/>
      </w:pPr>
      <w:r>
        <w:rPr>
          <w:rFonts w:ascii="Arial" w:hAnsi="Arial" w:eastAsia="Arial" w:cs="Arial"/>
        </w:rPr>
        <w:t>ПАКЕТ 04 • РАБОЧАЯ РУССКОЯЗЫЧНАЯ РЕДАКЦИЯ ДЛЯ ГОСУДАРСТВЕННОГО ПРЕДСТАВЛЕНИЯ</w:t>
      </w:r>
    </w:p>
    <w:p>
      <w:pPr>
        <w:pStyle w:val="TitleCustom"/>
        <w:jc w:val="center"/>
      </w:pPr>
      <w:r>
        <w:rPr>
          <w:rFonts w:ascii="Arial" w:hAnsi="Arial" w:eastAsia="Arial" w:cs="Arial"/>
        </w:rPr>
        <w:t>Пакет по специальной гражданской принадлежности Республики Армения</w:t>
      </w:r>
    </w:p>
    <w:p>
      <w:pPr>
        <w:pStyle w:val="SubtitleCustom"/>
        <w:jc w:val="center"/>
      </w:pPr>
      <w:r>
        <w:rPr>
          <w:rFonts w:ascii="Arial" w:hAnsi="Arial" w:eastAsia="Arial" w:cs="Arial"/>
        </w:rPr>
        <w:t>Самостоятельный законодательный пакет по гражданской принадлежности, максимально приближённой к гражданству по объёму повседневных прав, но конструктивно отличной от полного и временного гражданства</w:t>
      </w:r>
    </w:p>
    <w:tbl>
      <w:tblPr>
        <w:tblW w:type="auto" w:w="0"/>
        <w:tblLook w:firstColumn="1" w:firstRow="1" w:lastColumn="0" w:lastRow="0" w:noHBand="0" w:noVBand="1" w:val="04A0"/>
        <w:tblCellMar>
          <w:top w:w="85" w:type="dxa"/>
          <w:start w:w="100" w:type="dxa"/>
          <w:bottom w:w="85" w:type="dxa"/>
          <w:end w:w="100" w:type="dxa"/>
        </w:tblCellMar>
        <w:jc w:val="center"/>
        <w:tblBorders>
          <w:top w:val="single" w:sz="5" w:space="0" w:color="C9CED6"/>
          <w:left w:val="single" w:sz="5" w:space="0" w:color="C9CED6"/>
          <w:bottom w:val="single" w:sz="5" w:space="0" w:color="C9CED6"/>
          <w:right w:val="single" w:sz="5" w:space="0" w:color="C9CED6"/>
          <w:insideH w:val="single" w:sz="5" w:space="0" w:color="C9CED6"/>
          <w:insideV w:val="single" w:sz="5" w:space="0" w:color="C9CED6"/>
        </w:tblBorders>
      </w:tblPr>
      <w:tblGrid>
        <w:gridCol w:w="2268"/>
        <w:gridCol w:w="6520"/>
      </w:tblGrid>
      <w:tr>
        <w:tc>
          <w:tcPr>
            <w:tcW w:type="dxa" w:w="4762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  <w:shd w:fill="F5F7FA" w:color="auto" w:val="clear"/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/>
                <w:color w:val="27303A"/>
                <w:sz w:val="21"/>
              </w:rPr>
              <w:t>Дата</w:t>
            </w:r>
          </w:p>
        </w:tc>
        <w:tc>
          <w:tcPr>
            <w:tcW w:type="dxa" w:w="4762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</w:rPr>
              <w:t>28 марта 2026 года</w:t>
            </w:r>
          </w:p>
        </w:tc>
      </w:tr>
      <w:tr>
        <w:tc>
          <w:tcPr>
            <w:tcW w:type="dxa" w:w="4762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  <w:shd w:fill="F5F7FA" w:color="auto" w:val="clear"/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/>
                <w:color w:val="27303A"/>
                <w:sz w:val="21"/>
              </w:rPr>
              <w:t>Статус</w:t>
            </w:r>
          </w:p>
        </w:tc>
        <w:tc>
          <w:tcPr>
            <w:tcW w:type="dxa" w:w="4762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</w:rPr>
              <w:t>Подготовленный рабочий пакет для государственной презентации, подачи и последующей армяноязычной юридико-технической адаптации</w:t>
            </w:r>
          </w:p>
        </w:tc>
      </w:tr>
    </w:tbl>
    <w:p/>
    <w:p>
      <w:pPr>
        <w:pStyle w:val="QuoteBox"/>
        <w:shd w:fill="F6F7F9" w:val="clear" w:color="auto"/>
        <w:pBdr>
          <w:left w:val="single" w:sz="10" w:space="6" w:color="C9D0DA"/>
        </w:pBdr>
      </w:pPr>
      <w:r>
        <w:rPr>
          <w:rFonts w:ascii="Arial" w:hAnsi="Arial" w:eastAsia="Arial" w:cs="Arial"/>
          <w:b/>
        </w:rPr>
        <w:t xml:space="preserve">Примечание. </w:t>
      </w:r>
      <w:r>
        <w:rPr>
          <w:rFonts w:ascii="Arial" w:hAnsi="Arial" w:eastAsia="Arial" w:cs="Arial"/>
        </w:rPr>
        <w:t>Все проекты составлены на русском языке как рабочая версия для государственной презентации. Для официального внесения в органы Республики Армения требуется параллельная армяноязычная юридико-техническая редакция и финальная сверка с актуальными редакциями актов в ARLIS.</w:t>
      </w:r>
    </w:p>
    <w:p>
      <w:r>
        <w:rPr>
          <w:rFonts w:ascii="Arial" w:hAnsi="Arial" w:eastAsia="Arial" w:cs="Arial"/>
        </w:rPr>
        <w:br w:type="page"/>
      </w:r>
    </w:p>
    <w:p>
      <w:pPr>
        <w:pStyle w:val="Heading1Custom"/>
      </w:pPr>
      <w:r>
        <w:rPr>
          <w:rFonts w:ascii="Arial" w:hAnsi="Arial" w:eastAsia="Arial" w:cs="Arial"/>
        </w:rPr>
        <w:t>1. Назначение пакета</w:t>
      </w:r>
    </w:p>
    <w:p>
      <w:pPr/>
      <w:r>
        <w:rPr>
          <w:rFonts w:ascii="Arial" w:hAnsi="Arial" w:eastAsia="Arial" w:cs="Arial"/>
        </w:rPr>
        <w:t>Этот пакет создаёт самостоятельное и более гибкое решение на случай, если государство сочтёт модель временного гражданства слишком чувствительной или захочет вводить реформу поэтапно. Специальная гражданская принадлежность — это особая, усиленная правовая связь лица с Республикой Армения, которая по набору повседневных прав максимально приближена к гражданству, но не тождественна ему.</w:t>
      </w:r>
    </w:p>
    <w:p>
      <w:pPr/>
      <w:r>
        <w:rPr>
          <w:rFonts w:ascii="Arial" w:hAnsi="Arial" w:eastAsia="Arial" w:cs="Arial"/>
        </w:rPr>
        <w:t>Пакет особенно полезен как самостоятельный либо резервный путь: часть его можно запускать быстрее, а конституционный блок нужен лишь для тех элементов, которые касаются абсолютной невыдачи и конституционного уровня защиты.</w:t>
      </w:r>
    </w:p>
    <w:p>
      <w:pPr>
        <w:pStyle w:val="Heading1Custom"/>
      </w:pPr>
      <w:r>
        <w:rPr>
          <w:rFonts w:ascii="Arial" w:hAnsi="Arial" w:eastAsia="Arial" w:cs="Arial"/>
        </w:rPr>
        <w:t>2. Состав пакета</w:t>
      </w:r>
    </w:p>
    <w:tbl>
      <w:tblPr>
        <w:tblStyle w:val="TableGrid"/>
        <w:tblW w:type="auto" w:w="0"/>
        <w:tblLayout w:type="fixed"/>
        <w:tblLook w:firstColumn="1" w:firstRow="1" w:lastColumn="0" w:lastRow="0" w:noHBand="0" w:noVBand="1" w:val="04A0"/>
        <w:tblCellMar>
          <w:top w:w="85" w:type="dxa"/>
          <w:start w:w="100" w:type="dxa"/>
          <w:bottom w:w="85" w:type="dxa"/>
          <w:end w:w="100" w:type="dxa"/>
        </w:tblCellMar>
        <w:jc w:val="center"/>
        <w:tblBorders>
          <w:top w:val="single" w:sz="5" w:space="0" w:color="C9CED6"/>
          <w:left w:val="single" w:sz="5" w:space="0" w:color="C9CED6"/>
          <w:bottom w:val="single" w:sz="5" w:space="0" w:color="C9CED6"/>
          <w:right w:val="single" w:sz="5" w:space="0" w:color="C9CED6"/>
          <w:insideH w:val="single" w:sz="5" w:space="0" w:color="C9CED6"/>
          <w:insideV w:val="single" w:sz="5" w:space="0" w:color="C9CED6"/>
        </w:tblBorders>
      </w:tblPr>
      <w:tblGrid>
        <w:gridCol w:w="4762"/>
        <w:gridCol w:w="4762"/>
      </w:tblGrid>
      <w:tr>
        <w:tc>
          <w:tcPr>
            <w:tcW w:type="dxa" w:w="2494"/>
            <w:shd w:fill="F5F7FA" w:color="auto" w:val="clear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50" w:before="0" w:line="269" w:lineRule="auto"/>
              <w:jc w:val="center"/>
            </w:pPr>
            <w:r>
              <w:rPr>
                <w:rFonts w:ascii="Arial" w:hAnsi="Arial" w:eastAsia="Arial" w:cs="Arial"/>
                <w:b/>
                <w:color w:val="27303A"/>
                <w:sz w:val="21"/>
              </w:rPr>
              <w:t>Раздел</w:t>
            </w:r>
          </w:p>
        </w:tc>
        <w:tc>
          <w:tcPr>
            <w:tcW w:type="dxa" w:w="6690"/>
            <w:shd w:fill="EEE7E0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50" w:before="0" w:line="269" w:lineRule="auto"/>
              <w:jc w:val="center"/>
            </w:pPr>
            <w:r>
              <w:rPr>
                <w:rFonts w:ascii="Arial" w:hAnsi="Arial" w:eastAsia="Arial" w:cs="Arial"/>
                <w:b/>
              </w:rPr>
              <w:t>Содержание</w:t>
            </w:r>
          </w:p>
        </w:tc>
      </w:tr>
      <w:tr>
        <w:tc>
          <w:tcPr>
            <w:tcW w:type="dxa" w:w="2494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  <w:tcMar>
              <w:top w:w="90" w:type="dxa"/>
              <w:left w:w="90" w:type="dxa"/>
              <w:bottom w:w="90" w:type="dxa"/>
              <w:right w:w="90" w:type="dxa"/>
            </w:tcMar>
            <w:shd w:fill="F5F7FA" w:color="auto" w:val="clear"/>
          </w:tcPr>
          <w:p>
            <w:pPr>
              <w:spacing w:after="50" w:before="0" w:line="269" w:lineRule="auto"/>
              <w:jc w:val="center"/>
            </w:pPr>
            <w:r>
              <w:rPr>
                <w:rFonts w:ascii="Arial" w:hAnsi="Arial" w:eastAsia="Arial" w:cs="Arial"/>
                <w:b/>
                <w:color w:val="27303A"/>
                <w:sz w:val="21"/>
              </w:rPr>
              <w:t>Проект закона</w:t>
            </w:r>
          </w:p>
        </w:tc>
        <w:tc>
          <w:tcPr>
            <w:tcW w:type="dxa" w:w="6690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</w:rPr>
              <w:t>Полный проект закона «О специальной гражданской принадлежности Республики Армения».</w:t>
            </w:r>
          </w:p>
        </w:tc>
      </w:tr>
      <w:tr>
        <w:tc>
          <w:tcPr>
            <w:tcW w:type="dxa" w:w="2494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  <w:tcMar>
              <w:top w:w="90" w:type="dxa"/>
              <w:left w:w="90" w:type="dxa"/>
              <w:bottom w:w="90" w:type="dxa"/>
              <w:right w:w="90" w:type="dxa"/>
            </w:tcMar>
            <w:shd w:fill="F5F7FA" w:color="auto" w:val="clear"/>
          </w:tcPr>
          <w:p>
            <w:pPr>
              <w:spacing w:after="50" w:before="0" w:line="269" w:lineRule="auto"/>
              <w:jc w:val="center"/>
            </w:pPr>
            <w:r>
              <w:rPr>
                <w:rFonts w:ascii="Arial" w:hAnsi="Arial" w:eastAsia="Arial" w:cs="Arial"/>
                <w:b/>
                <w:color w:val="27303A"/>
                <w:sz w:val="21"/>
              </w:rPr>
              <w:t>Связанные изменения</w:t>
            </w:r>
          </w:p>
        </w:tc>
        <w:tc>
          <w:tcPr>
            <w:tcW w:type="dxa" w:w="6690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</w:rPr>
              <w:t>Поправки в регулирование иностранцев, пошлин, документов и подзаконных процедур.</w:t>
            </w:r>
          </w:p>
        </w:tc>
      </w:tr>
      <w:tr>
        <w:tc>
          <w:tcPr>
            <w:tcW w:type="dxa" w:w="2494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  <w:tcMar>
              <w:top w:w="90" w:type="dxa"/>
              <w:left w:w="90" w:type="dxa"/>
              <w:bottom w:w="90" w:type="dxa"/>
              <w:right w:w="90" w:type="dxa"/>
            </w:tcMar>
            <w:shd w:fill="F5F7FA" w:color="auto" w:val="clear"/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/>
                <w:color w:val="27303A"/>
                <w:sz w:val="21"/>
              </w:rPr>
              <w:t>Пояснительная записка</w:t>
            </w:r>
          </w:p>
        </w:tc>
        <w:tc>
          <w:tcPr>
            <w:tcW w:type="dxa" w:w="6690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</w:rPr>
              <w:t>Цели, мотивы, преимущества, риски и сравнение с существующими статусами.</w:t>
            </w:r>
          </w:p>
        </w:tc>
      </w:tr>
      <w:tr>
        <w:tc>
          <w:tcPr>
            <w:tcW w:type="dxa" w:w="2494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  <w:tcMar>
              <w:top w:w="90" w:type="dxa"/>
              <w:left w:w="90" w:type="dxa"/>
              <w:bottom w:w="90" w:type="dxa"/>
              <w:right w:w="90" w:type="dxa"/>
            </w:tcMar>
            <w:shd w:fill="F5F7FA" w:color="auto" w:val="clear"/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/>
                <w:color w:val="27303A"/>
                <w:sz w:val="21"/>
              </w:rPr>
              <w:t>Сравнение с действующим правом</w:t>
            </w:r>
          </w:p>
        </w:tc>
        <w:tc>
          <w:tcPr>
            <w:tcW w:type="dxa" w:w="6690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</w:rPr>
              <w:t>Отличия от special residency status и от обычного проживания.</w:t>
            </w:r>
          </w:p>
        </w:tc>
      </w:tr>
      <w:tr>
        <w:tc>
          <w:tcPr>
            <w:tcW w:type="dxa" w:w="2494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  <w:tcMar>
              <w:top w:w="90" w:type="dxa"/>
              <w:left w:w="90" w:type="dxa"/>
              <w:bottom w:w="90" w:type="dxa"/>
              <w:right w:w="90" w:type="dxa"/>
            </w:tcMar>
            <w:shd w:fill="F5F7FA" w:color="auto" w:val="clear"/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/>
                <w:color w:val="27303A"/>
                <w:sz w:val="21"/>
              </w:rPr>
              <w:t>Коммуникационный блок</w:t>
            </w:r>
          </w:p>
        </w:tc>
        <w:tc>
          <w:tcPr>
            <w:tcW w:type="dxa" w:w="6690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</w:rPr>
              <w:t>Формула презентации как резервной, но устойчивой модели.</w:t>
            </w:r>
          </w:p>
        </w:tc>
      </w:tr>
    </w:tbl>
    <w:p/>
    <w:p>
      <w:pPr>
        <w:pStyle w:val="Heading1Custom"/>
      </w:pPr>
      <w:r>
        <w:rPr>
          <w:rFonts w:ascii="Arial" w:hAnsi="Arial" w:eastAsia="Arial" w:cs="Arial"/>
        </w:rPr>
        <w:t>3. Цели, мотивы и преимущества</w:t>
      </w:r>
    </w:p>
    <w:p>
      <w:pPr>
        <w:spacing w:after="60"/>
        <w:ind w:left="340" w:hanging="198"/>
      </w:pPr>
      <w:r>
        <w:rPr>
          <w:rFonts w:ascii="Arial" w:hAnsi="Arial" w:eastAsia="Arial" w:cs="Arial"/>
          <w:b/>
        </w:rPr>
        <w:t xml:space="preserve">• </w:t>
      </w:r>
      <w:r>
        <w:rPr>
          <w:rFonts w:ascii="Arial" w:hAnsi="Arial" w:eastAsia="Arial" w:cs="Arial"/>
          <w:b/>
        </w:rPr>
        <w:t>Цель 1.</w:t>
      </w:r>
      <w:r>
        <w:rPr>
          <w:rFonts w:ascii="Arial" w:hAnsi="Arial" w:eastAsia="Arial" w:cs="Arial"/>
        </w:rPr>
        <w:t xml:space="preserve"> Дать лицу, прожившему в Армении не менее шести месяцев, стабильный и защищённый статус без немедленного перевода в плоскость полного гражданства.</w:t>
      </w:r>
    </w:p>
    <w:p>
      <w:pPr>
        <w:spacing w:after="60"/>
        <w:ind w:left="340" w:hanging="198"/>
      </w:pPr>
      <w:r>
        <w:rPr>
          <w:rFonts w:ascii="Arial" w:hAnsi="Arial" w:eastAsia="Arial" w:cs="Arial"/>
          <w:b/>
        </w:rPr>
        <w:t xml:space="preserve">• </w:t>
      </w:r>
      <w:r>
        <w:rPr>
          <w:rFonts w:ascii="Arial" w:hAnsi="Arial" w:eastAsia="Arial" w:cs="Arial"/>
          <w:b/>
        </w:rPr>
        <w:t>Цель 2.</w:t>
      </w:r>
      <w:r>
        <w:rPr>
          <w:rFonts w:ascii="Arial" w:hAnsi="Arial" w:eastAsia="Arial" w:cs="Arial"/>
        </w:rPr>
        <w:t xml:space="preserve"> Сделать статус максимально близким к гражданству по фактическому набору прав: проживание, труд, бизнес, образование, здравоохранение, суд, договоры, банки, семейная жизнь, право долгосрочного возвращения в Армению.</w:t>
      </w:r>
    </w:p>
    <w:p>
      <w:pPr>
        <w:spacing w:after="60"/>
        <w:ind w:left="340" w:hanging="198"/>
      </w:pPr>
      <w:r>
        <w:rPr>
          <w:rFonts w:ascii="Arial" w:hAnsi="Arial" w:eastAsia="Arial" w:cs="Arial"/>
          <w:b/>
        </w:rPr>
        <w:t xml:space="preserve">• </w:t>
      </w:r>
      <w:r>
        <w:rPr>
          <w:rFonts w:ascii="Arial" w:hAnsi="Arial" w:eastAsia="Arial" w:cs="Arial"/>
          <w:b/>
        </w:rPr>
        <w:t>Цель 3.</w:t>
      </w:r>
      <w:r>
        <w:rPr>
          <w:rFonts w:ascii="Arial" w:hAnsi="Arial" w:eastAsia="Arial" w:cs="Arial"/>
        </w:rPr>
        <w:t xml:space="preserve"> Оставить государству более мягкий и технически управляемый путь по сравнению с введением нового вида гражданства.</w:t>
      </w:r>
    </w:p>
    <w:p>
      <w:pPr>
        <w:spacing w:after="60"/>
        <w:ind w:left="340" w:hanging="198"/>
      </w:pPr>
      <w:r>
        <w:rPr>
          <w:rFonts w:ascii="Arial" w:hAnsi="Arial" w:eastAsia="Arial" w:cs="Arial"/>
          <w:b/>
        </w:rPr>
        <w:t xml:space="preserve">• </w:t>
      </w:r>
      <w:r>
        <w:rPr>
          <w:rFonts w:ascii="Arial" w:hAnsi="Arial" w:eastAsia="Arial" w:cs="Arial"/>
          <w:b/>
        </w:rPr>
        <w:t>Преимущество модели.</w:t>
      </w:r>
      <w:r>
        <w:rPr>
          <w:rFonts w:ascii="Arial" w:hAnsi="Arial" w:eastAsia="Arial" w:cs="Arial"/>
        </w:rPr>
        <w:t xml:space="preserve"> Её можно подавать как институциональный мост между проживанием и полным гражданством, не меняя базовое ядро понятия «гражданин» там, где государство ещё не готово к столь сильной реформе.</w:t>
      </w:r>
    </w:p>
    <w:p>
      <w:pPr>
        <w:pStyle w:val="Heading1Custom"/>
      </w:pPr>
      <w:r>
        <w:rPr>
          <w:rFonts w:ascii="Arial" w:hAnsi="Arial" w:eastAsia="Arial" w:cs="Arial"/>
        </w:rPr>
        <w:t>4. Проект закона «О специальной гражданской принадлежности Республики Армения»</w:t>
      </w:r>
    </w:p>
    <w:p>
      <w:pPr>
        <w:pStyle w:val="SmallGray"/>
      </w:pPr>
      <w:r>
        <w:rPr>
          <w:rFonts w:ascii="Arial" w:hAnsi="Arial" w:eastAsia="Arial" w:cs="Arial"/>
        </w:rPr>
        <w:t>Проект</w:t>
      </w:r>
    </w:p>
    <w:p>
      <w:pPr>
        <w:pStyle w:val="Heading2Custom"/>
      </w:pPr>
      <w:r>
        <w:rPr>
          <w:rFonts w:ascii="Arial" w:hAnsi="Arial" w:eastAsia="Arial" w:cs="Arial"/>
        </w:rPr>
        <w:t>ЗАКОН РЕСПУБЛИКИ АРМЕНИЯ «О СПЕЦИАЛЬНОЙ ГРАЖДАНСКОЙ ПРИНАДЛЕЖНОСТИ РЕСПУБЛИКИ АРМЕНИЯ»</w:t>
      </w:r>
    </w:p>
    <w:p>
      <w:pPr>
        <w:pStyle w:val="Heading2Custom"/>
      </w:pPr>
      <w:r>
        <w:rPr>
          <w:rFonts w:ascii="Arial" w:hAnsi="Arial" w:eastAsia="Arial" w:cs="Arial"/>
        </w:rPr>
        <w:t>Глава 1. Общие положения</w:t>
      </w:r>
    </w:p>
    <w:p>
      <w:pPr/>
      <w:r>
        <w:rPr>
          <w:rFonts w:ascii="Arial" w:hAnsi="Arial" w:eastAsia="Arial" w:cs="Arial"/>
          <w:b/>
        </w:rPr>
        <w:t>Статья 1. Предмет закона.</w:t>
      </w:r>
      <w:r>
        <w:rPr>
          <w:rFonts w:ascii="Arial" w:hAnsi="Arial" w:eastAsia="Arial" w:cs="Arial"/>
        </w:rPr>
        <w:t xml:space="preserve"> Настоящий закон регулирует основания предоставления, объём прав, гарантии защиты, документирование, прекращение и переходные механизмы специальной гражданской принадлежности к Республике Армения.</w:t>
      </w:r>
    </w:p>
    <w:p>
      <w:pPr/>
      <w:r>
        <w:rPr>
          <w:rFonts w:ascii="Arial" w:hAnsi="Arial" w:eastAsia="Arial" w:cs="Arial"/>
          <w:b/>
        </w:rPr>
        <w:t>Статья 2. Понятие специальной гражданской принадлежности.</w:t>
      </w:r>
      <w:r>
        <w:rPr>
          <w:rFonts w:ascii="Arial" w:hAnsi="Arial" w:eastAsia="Arial" w:cs="Arial"/>
        </w:rPr>
        <w:t xml:space="preserve"> Специальная гражданская принадлежность к Республике Армения — это установленная законом устойчивая правовая связь лица с Республикой Армения, предоставляющая широкий объём гражданоподобных прав и гарантий без приобретения полного гражданства Республики Армения.</w:t>
      </w:r>
    </w:p>
    <w:p>
      <w:pPr/>
      <w:r>
        <w:rPr>
          <w:rFonts w:ascii="Arial" w:hAnsi="Arial" w:eastAsia="Arial" w:cs="Arial"/>
          <w:b/>
        </w:rPr>
        <w:t>Статья 3. Принципы.</w:t>
      </w:r>
      <w:r>
        <w:rPr>
          <w:rFonts w:ascii="Arial" w:hAnsi="Arial" w:eastAsia="Arial" w:cs="Arial"/>
        </w:rPr>
        <w:t xml:space="preserve"> Статус основывается на принципах правовой определённости, гуманной интеграции, недискриминации, безопасности, прозрачности и уважения к правам человека.</w:t>
      </w:r>
    </w:p>
    <w:p>
      <w:pPr>
        <w:pStyle w:val="Heading2Custom"/>
      </w:pPr>
      <w:r>
        <w:rPr>
          <w:rFonts w:ascii="Arial" w:hAnsi="Arial" w:eastAsia="Arial" w:cs="Arial"/>
        </w:rPr>
        <w:t>Глава 2. Основания предоставления</w:t>
      </w:r>
    </w:p>
    <w:p>
      <w:pPr/>
      <w:r>
        <w:rPr>
          <w:rFonts w:ascii="Arial" w:hAnsi="Arial" w:eastAsia="Arial" w:cs="Arial"/>
          <w:b/>
        </w:rPr>
        <w:t>Статья 4. Право на обращение.</w:t>
      </w:r>
      <w:r>
        <w:rPr>
          <w:rFonts w:ascii="Arial" w:hAnsi="Arial" w:eastAsia="Arial" w:cs="Arial"/>
        </w:rPr>
        <w:t xml:space="preserve"> Иностранный гражданин или лицо без гражданства, достигшее восемнадцати лет, вправе обратиться за специальной гражданской принадлежностью, если законно проживает в Республике Армения не менее шести месяцев и подтвердил(а) устойчивую связь с Арменией.</w:t>
      </w:r>
    </w:p>
    <w:p>
      <w:pPr/>
      <w:r>
        <w:rPr>
          <w:rFonts w:ascii="Arial" w:hAnsi="Arial" w:eastAsia="Arial" w:cs="Arial"/>
          <w:b/>
        </w:rPr>
        <w:t>Статья 5. Критерии связи с Арменией.</w:t>
      </w:r>
      <w:r>
        <w:rPr>
          <w:rFonts w:ascii="Arial" w:hAnsi="Arial" w:eastAsia="Arial" w:cs="Arial"/>
        </w:rPr>
        <w:t xml:space="preserve"> Критериями являются фактическое проживание, трудовая либо предпринимательская активность, обучение, семейные связи, аренда или наличие жилья, налоговое присутствие, участие в общественной жизни и иные обстоятельства, подтверждающие добросовестную интеграцию.</w:t>
      </w:r>
    </w:p>
    <w:p>
      <w:pPr/>
      <w:r>
        <w:rPr>
          <w:rFonts w:ascii="Arial" w:hAnsi="Arial" w:eastAsia="Arial" w:cs="Arial"/>
          <w:b/>
        </w:rPr>
        <w:t>Статья 6. Срок статуса.</w:t>
      </w:r>
      <w:r>
        <w:rPr>
          <w:rFonts w:ascii="Arial" w:hAnsi="Arial" w:eastAsia="Arial" w:cs="Arial"/>
        </w:rPr>
        <w:t xml:space="preserve"> Специальная гражданская принадлежность предоставляется на десять лет с правом продления. Закон может предусматривать ускоренное приобретение статуса для особо интегрированных категорий, а также упрощённый переход к полному гражданству.</w:t>
      </w:r>
    </w:p>
    <w:p>
      <w:pPr>
        <w:pStyle w:val="Heading2Custom"/>
      </w:pPr>
      <w:r>
        <w:rPr>
          <w:rFonts w:ascii="Arial" w:hAnsi="Arial" w:eastAsia="Arial" w:cs="Arial"/>
        </w:rPr>
        <w:t>Глава 3. Права лица со специальной гражданской принадлежностью</w:t>
      </w:r>
    </w:p>
    <w:p>
      <w:pPr/>
      <w:r>
        <w:rPr>
          <w:rFonts w:ascii="Arial" w:hAnsi="Arial" w:eastAsia="Arial" w:cs="Arial"/>
          <w:b/>
        </w:rPr>
        <w:t>Статья 7. Основные права.</w:t>
      </w:r>
      <w:r>
        <w:rPr>
          <w:rFonts w:ascii="Arial" w:hAnsi="Arial" w:eastAsia="Arial" w:cs="Arial"/>
        </w:rPr>
        <w:t xml:space="preserve"> Лицо со специальной гражданской принадлежностью имеет право: (1) бессрочно или долгосрочно проживать в Республике Армения в пределах срока статуса; (2) свободно работать, обучаться, вести предпринимательскую деятельность и открывать банковские счета; (3) пользоваться судебной и административной защитой, а также доступом к государственным и муниципальным услугам в объёме, установленном законом; (4) пользоваться документом специальной гражданской принадлежности и правом возвращения в Республику Армения; (5) обращаться за полным гражданством Республики Армения в порядке, установленном законом.</w:t>
      </w:r>
    </w:p>
    <w:p>
      <w:pPr/>
      <w:r>
        <w:rPr>
          <w:rFonts w:ascii="Arial" w:hAnsi="Arial" w:eastAsia="Arial" w:cs="Arial"/>
          <w:b/>
        </w:rPr>
        <w:t>Статья 8. Ограничения.</w:t>
      </w:r>
      <w:r>
        <w:rPr>
          <w:rFonts w:ascii="Arial" w:hAnsi="Arial" w:eastAsia="Arial" w:cs="Arial"/>
        </w:rPr>
        <w:t xml:space="preserve"> Специальная гражданская принадлежность не является полным гражданством Республики Армения и не даёт избирательных прав, права участия в референдумах и иных прав, прямо связанных Конституцией с полным гражданством.</w:t>
      </w:r>
    </w:p>
    <w:p>
      <w:pPr/>
      <w:r>
        <w:rPr>
          <w:rFonts w:ascii="Arial" w:hAnsi="Arial" w:eastAsia="Arial" w:cs="Arial"/>
          <w:b/>
        </w:rPr>
        <w:t>Статья 9. Гарантия невыдачи.</w:t>
      </w:r>
      <w:r>
        <w:rPr>
          <w:rFonts w:ascii="Arial" w:hAnsi="Arial" w:eastAsia="Arial" w:cs="Arial"/>
        </w:rPr>
        <w:t xml:space="preserve"> Лицо со специальной гражданской принадлежностью не подлежит выдаче иностранному государству. В случаях, когда для абсолютной реализации этой гарантии требуется изменение Конституции, настоящий закон применяется совместно с конституционным пакетом реформы.</w:t>
      </w:r>
    </w:p>
    <w:p>
      <w:pPr/>
      <w:r>
        <w:rPr>
          <w:rFonts w:ascii="Arial" w:hAnsi="Arial" w:eastAsia="Arial" w:cs="Arial"/>
          <w:b/>
        </w:rPr>
        <w:t>Статья 10. Документ статуса.</w:t>
      </w:r>
      <w:r>
        <w:rPr>
          <w:rFonts w:ascii="Arial" w:hAnsi="Arial" w:eastAsia="Arial" w:cs="Arial"/>
        </w:rPr>
        <w:t xml:space="preserve"> Уполномоченный орган выдаёт удостоверение специальной гражданской принадлежности. Закон и решения Правительства могут предусмотреть также специальный документ для возвращения в Армению и иные документы, необходимые для практического пользования статусом.</w:t>
      </w:r>
    </w:p>
    <w:p>
      <w:pPr/>
      <w:r>
        <w:rPr>
          <w:rFonts w:ascii="Arial" w:hAnsi="Arial" w:eastAsia="Arial" w:cs="Arial"/>
          <w:b/>
        </w:rPr>
        <w:t>Статья 11. Международно-правовая оговорка.</w:t>
      </w:r>
      <w:r>
        <w:rPr>
          <w:rFonts w:ascii="Arial" w:hAnsi="Arial" w:eastAsia="Arial" w:cs="Arial"/>
        </w:rPr>
        <w:t xml:space="preserve"> Документ специальной гражданской принадлежности подтверждает статус в Армении, но не гарантирует автоматическое признание третьими государствами в качестве эквивалента национального паспорта.</w:t>
      </w:r>
    </w:p>
    <w:p>
      <w:pPr>
        <w:pStyle w:val="Heading2Custom"/>
      </w:pPr>
      <w:r>
        <w:rPr>
          <w:rFonts w:ascii="Arial" w:hAnsi="Arial" w:eastAsia="Arial" w:cs="Arial"/>
        </w:rPr>
        <w:t>Глава 4. Прекращение статуса</w:t>
      </w:r>
    </w:p>
    <w:p>
      <w:pPr/>
      <w:r>
        <w:rPr>
          <w:rFonts w:ascii="Arial" w:hAnsi="Arial" w:eastAsia="Arial" w:cs="Arial"/>
          <w:b/>
        </w:rPr>
        <w:t>Статья 12. Основания прекращения.</w:t>
      </w:r>
      <w:r>
        <w:rPr>
          <w:rFonts w:ascii="Arial" w:hAnsi="Arial" w:eastAsia="Arial" w:cs="Arial"/>
        </w:rPr>
        <w:t xml:space="preserve"> Статус прекращается по истечении срока, по добровольному отказу, при приобретении полного гражданства Республики Армения, при установлении грубого обмана при получении статуса либо по мотивированным основаниям национальной безопасности в порядке, установленном законом.</w:t>
      </w:r>
    </w:p>
    <w:p>
      <w:pPr/>
      <w:r>
        <w:rPr>
          <w:rFonts w:ascii="Arial" w:hAnsi="Arial" w:eastAsia="Arial" w:cs="Arial"/>
          <w:b/>
        </w:rPr>
        <w:t>Статья 13. Запрет обхода невыдачи.</w:t>
      </w:r>
      <w:r>
        <w:rPr>
          <w:rFonts w:ascii="Arial" w:hAnsi="Arial" w:eastAsia="Arial" w:cs="Arial"/>
        </w:rPr>
        <w:t xml:space="preserve"> Прекращение статуса не может использоваться как инструмент подготовки к выдаче лица иностранному государству.</w:t>
      </w:r>
    </w:p>
    <w:p>
      <w:pPr>
        <w:pStyle w:val="Heading2Custom"/>
      </w:pPr>
      <w:r>
        <w:rPr>
          <w:rFonts w:ascii="Arial" w:hAnsi="Arial" w:eastAsia="Arial" w:cs="Arial"/>
        </w:rPr>
        <w:t>Глава 5. Переход к гражданству</w:t>
      </w:r>
    </w:p>
    <w:p>
      <w:pPr/>
      <w:r>
        <w:rPr>
          <w:rFonts w:ascii="Arial" w:hAnsi="Arial" w:eastAsia="Arial" w:cs="Arial"/>
          <w:b/>
        </w:rPr>
        <w:t>Статья 14. Право на обращение за гражданством.</w:t>
      </w:r>
      <w:r>
        <w:rPr>
          <w:rFonts w:ascii="Arial" w:hAnsi="Arial" w:eastAsia="Arial" w:cs="Arial"/>
        </w:rPr>
        <w:t xml:space="preserve"> Лицо со специальной гражданской принадлежностью вправе обратиться за полным гражданством Республики Армения в упрощённом порядке после подтверждения устойчивой интеграции, знания армянского языка и знакомства с Конституцией Республики Армения.</w:t>
      </w:r>
    </w:p>
    <w:p>
      <w:pPr/>
      <w:r>
        <w:rPr>
          <w:rFonts w:ascii="Arial" w:hAnsi="Arial" w:eastAsia="Arial" w:cs="Arial"/>
          <w:b/>
        </w:rPr>
        <w:t>Статья 15. Вступление закона в силу.</w:t>
      </w:r>
      <w:r>
        <w:rPr>
          <w:rFonts w:ascii="Arial" w:hAnsi="Arial" w:eastAsia="Arial" w:cs="Arial"/>
        </w:rPr>
        <w:t xml:space="preserve"> Закон вступает в силу в сроки, определённые самим законом и необходимыми подзаконными актами, а в части запрета выдачи — с учётом конституционных поправок.</w:t>
      </w:r>
    </w:p>
    <w:p>
      <w:pPr>
        <w:pStyle w:val="Heading1Custom"/>
      </w:pPr>
      <w:r>
        <w:rPr>
          <w:rFonts w:ascii="Arial" w:hAnsi="Arial" w:eastAsia="Arial" w:cs="Arial"/>
        </w:rPr>
        <w:t>5. Чем эта модель отличается от существующего специального режима проживания</w:t>
      </w:r>
    </w:p>
    <w:tbl>
      <w:tblPr>
        <w:tblStyle w:val="TableGrid"/>
        <w:tblW w:type="auto" w:w="0"/>
        <w:tblLayout w:type="fixed"/>
        <w:tblLook w:firstColumn="1" w:firstRow="1" w:lastColumn="0" w:lastRow="0" w:noHBand="0" w:noVBand="1" w:val="04A0"/>
        <w:tblCellMar>
          <w:top w:w="85" w:type="dxa"/>
          <w:start w:w="100" w:type="dxa"/>
          <w:bottom w:w="85" w:type="dxa"/>
          <w:end w:w="100" w:type="dxa"/>
        </w:tblCellMar>
        <w:jc w:val="center"/>
        <w:tblBorders>
          <w:top w:val="single" w:sz="5" w:space="0" w:color="C9CED6"/>
          <w:left w:val="single" w:sz="5" w:space="0" w:color="C9CED6"/>
          <w:bottom w:val="single" w:sz="5" w:space="0" w:color="C9CED6"/>
          <w:right w:val="single" w:sz="5" w:space="0" w:color="C9CED6"/>
          <w:insideH w:val="single" w:sz="5" w:space="0" w:color="C9CED6"/>
          <w:insideV w:val="single" w:sz="5" w:space="0" w:color="C9CED6"/>
        </w:tblBorders>
      </w:tblPr>
      <w:tblGrid>
        <w:gridCol w:w="3175"/>
        <w:gridCol w:w="3175"/>
        <w:gridCol w:w="3175"/>
      </w:tblGrid>
      <w:tr>
        <w:tc>
          <w:tcPr>
            <w:tcW w:type="dxa" w:w="1814"/>
            <w:shd w:fill="E9E3DC" w:color="auto" w:val="clear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0" w:before="0" w:line="269" w:lineRule="auto"/>
              <w:jc w:val="center"/>
            </w:pPr>
            <w:r>
              <w:rPr>
                <w:rFonts w:ascii="Arial" w:hAnsi="Arial" w:eastAsia="Arial" w:cs="Arial"/>
                <w:b/>
                <w:color w:val="1F2430"/>
                <w:sz w:val="22"/>
              </w:rPr>
              <w:t>Параметр</w:t>
            </w:r>
          </w:p>
        </w:tc>
        <w:tc>
          <w:tcPr>
            <w:tcW w:type="dxa" w:w="3288"/>
            <w:shd w:fill="E9E3DC" w:color="auto" w:val="clear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0" w:before="0" w:line="269" w:lineRule="auto"/>
              <w:jc w:val="center"/>
            </w:pPr>
            <w:r>
              <w:rPr>
                <w:rFonts w:ascii="Arial" w:hAnsi="Arial" w:eastAsia="Arial" w:cs="Arial"/>
                <w:b/>
                <w:color w:val="1F2430"/>
                <w:sz w:val="22"/>
              </w:rPr>
              <w:t>Существующий специальный режим проживания</w:t>
            </w:r>
          </w:p>
        </w:tc>
        <w:tc>
          <w:tcPr>
            <w:tcW w:type="dxa" w:w="4082"/>
            <w:shd w:fill="E9E3DC" w:color="auto" w:val="clear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0" w:before="0" w:line="269" w:lineRule="auto"/>
              <w:jc w:val="center"/>
            </w:pPr>
            <w:r>
              <w:rPr>
                <w:rFonts w:ascii="Arial" w:hAnsi="Arial" w:eastAsia="Arial" w:cs="Arial"/>
                <w:b/>
                <w:color w:val="1F2430"/>
                <w:sz w:val="22"/>
              </w:rPr>
              <w:t>Предлагаемая специальная гражданская принадлежность</w:t>
            </w:r>
          </w:p>
        </w:tc>
      </w:tr>
      <w:tr>
        <w:tc>
          <w:tcPr>
            <w:tcW w:type="dxa" w:w="1814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50" w:before="0" w:line="269" w:lineRule="auto"/>
              <w:jc w:val="center"/>
            </w:pPr>
            <w:r>
              <w:rPr>
                <w:rFonts w:ascii="Arial" w:hAnsi="Arial" w:eastAsia="Arial" w:cs="Arial"/>
                <w:color w:val="222B36"/>
                <w:sz w:val="21"/>
              </w:rPr>
              <w:t>Юридическая логика</w:t>
            </w:r>
          </w:p>
        </w:tc>
        <w:tc>
          <w:tcPr>
            <w:tcW w:type="dxa" w:w="3288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color w:val="222B36"/>
                <w:sz w:val="21"/>
              </w:rPr>
              <w:t>Особый вид проживания / статуса</w:t>
            </w:r>
          </w:p>
        </w:tc>
        <w:tc>
          <w:tcPr>
            <w:tcW w:type="dxa" w:w="4082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color w:val="222B36"/>
                <w:sz w:val="21"/>
              </w:rPr>
              <w:t>Устойчивая гражданоподобная связь с государством</w:t>
            </w:r>
          </w:p>
        </w:tc>
      </w:tr>
      <w:tr>
        <w:tc>
          <w:tcPr>
            <w:tcW w:type="dxa" w:w="1814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50" w:before="0" w:line="269" w:lineRule="auto"/>
              <w:jc w:val="center"/>
            </w:pPr>
            <w:r>
              <w:rPr>
                <w:rFonts w:ascii="Arial" w:hAnsi="Arial" w:eastAsia="Arial" w:cs="Arial"/>
                <w:color w:val="222B36"/>
                <w:sz w:val="21"/>
              </w:rPr>
              <w:t>Субъектность</w:t>
            </w:r>
          </w:p>
        </w:tc>
        <w:tc>
          <w:tcPr>
            <w:tcW w:type="dxa" w:w="3288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color w:val="222B36"/>
                <w:sz w:val="21"/>
              </w:rPr>
              <w:t>Иностранец со специальным статусом</w:t>
            </w:r>
          </w:p>
        </w:tc>
        <w:tc>
          <w:tcPr>
            <w:tcW w:type="dxa" w:w="4082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color w:val="222B36"/>
                <w:sz w:val="21"/>
              </w:rPr>
              <w:t>Лицо с особой гражданской принадлежностью к Армении</w:t>
            </w:r>
          </w:p>
        </w:tc>
      </w:tr>
      <w:tr>
        <w:tc>
          <w:tcPr>
            <w:tcW w:type="dxa" w:w="1814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50" w:before="0" w:line="269" w:lineRule="auto"/>
              <w:jc w:val="center"/>
            </w:pPr>
            <w:r>
              <w:rPr>
                <w:rFonts w:ascii="Arial" w:hAnsi="Arial" w:eastAsia="Arial" w:cs="Arial"/>
                <w:color w:val="222B36"/>
                <w:sz w:val="21"/>
              </w:rPr>
              <w:t>Цель</w:t>
            </w:r>
          </w:p>
        </w:tc>
        <w:tc>
          <w:tcPr>
            <w:tcW w:type="dxa" w:w="3288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color w:val="222B36"/>
                <w:sz w:val="21"/>
              </w:rPr>
              <w:t>Упрощённый допуск и широкие права</w:t>
            </w:r>
          </w:p>
        </w:tc>
        <w:tc>
          <w:tcPr>
            <w:tcW w:type="dxa" w:w="4082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color w:val="222B36"/>
                <w:sz w:val="21"/>
              </w:rPr>
              <w:t>Долгосрочная защищённость и мост к гражданству</w:t>
            </w:r>
          </w:p>
        </w:tc>
      </w:tr>
      <w:tr>
        <w:tc>
          <w:tcPr>
            <w:tcW w:type="dxa" w:w="1814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50" w:before="0" w:line="269" w:lineRule="auto"/>
              <w:jc w:val="center"/>
            </w:pPr>
            <w:r>
              <w:rPr>
                <w:rFonts w:ascii="Arial" w:hAnsi="Arial" w:eastAsia="Arial" w:cs="Arial"/>
                <w:color w:val="222B36"/>
                <w:sz w:val="21"/>
              </w:rPr>
              <w:t>Невыдача</w:t>
            </w:r>
          </w:p>
        </w:tc>
        <w:tc>
          <w:tcPr>
            <w:tcW w:type="dxa" w:w="3288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color w:val="222B36"/>
                <w:sz w:val="21"/>
              </w:rPr>
              <w:t>Не гарантирована на абсолютном конституционном уровне</w:t>
            </w:r>
          </w:p>
        </w:tc>
        <w:tc>
          <w:tcPr>
            <w:tcW w:type="dxa" w:w="4082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color w:val="222B36"/>
                <w:sz w:val="21"/>
              </w:rPr>
              <w:t>Предлагается как прямая гарантия</w:t>
            </w:r>
          </w:p>
        </w:tc>
      </w:tr>
      <w:tr>
        <w:tc>
          <w:tcPr>
            <w:tcW w:type="dxa" w:w="1814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color w:val="222B36"/>
                <w:sz w:val="21"/>
              </w:rPr>
              <w:t>Переход к гражданству</w:t>
            </w:r>
          </w:p>
        </w:tc>
        <w:tc>
          <w:tcPr>
            <w:tcW w:type="dxa" w:w="3288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color w:val="222B36"/>
                <w:sz w:val="21"/>
              </w:rPr>
              <w:t>Не встроен как центральная функция</w:t>
            </w:r>
          </w:p>
        </w:tc>
        <w:tc>
          <w:tcPr>
            <w:tcW w:type="dxa" w:w="4082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color w:val="222B36"/>
                <w:sz w:val="21"/>
              </w:rPr>
              <w:t>Прямо заложен как одна из целей статуса</w:t>
            </w:r>
          </w:p>
        </w:tc>
      </w:tr>
    </w:tbl>
    <w:p/>
    <w:p>
      <w:pPr>
        <w:pStyle w:val="Heading1Custom"/>
      </w:pPr>
      <w:r>
        <w:rPr>
          <w:rFonts w:ascii="Arial" w:hAnsi="Arial" w:eastAsia="Arial" w:cs="Arial"/>
        </w:rPr>
        <w:t>6. Какие изменения нужно внести дополнительно</w:t>
      </w:r>
    </w:p>
    <w:p>
      <w:pPr>
        <w:spacing w:after="60"/>
        <w:ind w:left="340" w:hanging="198"/>
      </w:pPr>
      <w:r>
        <w:rPr>
          <w:rFonts w:ascii="Arial" w:hAnsi="Arial" w:eastAsia="Arial" w:cs="Arial"/>
          <w:b/>
        </w:rPr>
        <w:t xml:space="preserve">• </w:t>
      </w:r>
      <w:r>
        <w:rPr>
          <w:rFonts w:ascii="Arial" w:hAnsi="Arial" w:eastAsia="Arial" w:cs="Arial"/>
          <w:b/>
        </w:rPr>
        <w:t>Законодательство о правовом положении иностранцев.</w:t>
      </w:r>
      <w:r>
        <w:rPr>
          <w:rFonts w:ascii="Arial" w:hAnsi="Arial" w:eastAsia="Arial" w:cs="Arial"/>
        </w:rPr>
        <w:t xml:space="preserve"> Нужно синхронизировать новые категории со статусами проживания, картами, регистрацией адреса и правом на долгосрочное пребывание.</w:t>
      </w:r>
    </w:p>
    <w:p>
      <w:pPr>
        <w:spacing w:after="60"/>
        <w:ind w:left="340" w:hanging="198"/>
      </w:pPr>
      <w:r>
        <w:rPr>
          <w:rFonts w:ascii="Arial" w:hAnsi="Arial" w:eastAsia="Arial" w:cs="Arial"/>
          <w:b/>
        </w:rPr>
        <w:t xml:space="preserve">• </w:t>
      </w:r>
      <w:r>
        <w:rPr>
          <w:rFonts w:ascii="Arial" w:hAnsi="Arial" w:eastAsia="Arial" w:cs="Arial"/>
          <w:b/>
        </w:rPr>
        <w:t>Закон о государственной пошлине.</w:t>
      </w:r>
      <w:r>
        <w:rPr>
          <w:rFonts w:ascii="Arial" w:hAnsi="Arial" w:eastAsia="Arial" w:cs="Arial"/>
        </w:rPr>
        <w:t xml:space="preserve"> Следует предусмотреть отдельные ставки за предоставление статуса, выдачу документа и его продление.</w:t>
      </w:r>
    </w:p>
    <w:p>
      <w:pPr>
        <w:spacing w:after="60"/>
        <w:ind w:left="340" w:hanging="198"/>
      </w:pPr>
      <w:r>
        <w:rPr>
          <w:rFonts w:ascii="Arial" w:hAnsi="Arial" w:eastAsia="Arial" w:cs="Arial"/>
          <w:b/>
        </w:rPr>
        <w:t xml:space="preserve">• </w:t>
      </w:r>
      <w:r>
        <w:rPr>
          <w:rFonts w:ascii="Arial" w:hAnsi="Arial" w:eastAsia="Arial" w:cs="Arial"/>
          <w:b/>
        </w:rPr>
        <w:t>Подзаконные акты Правительства.</w:t>
      </w:r>
      <w:r>
        <w:rPr>
          <w:rFonts w:ascii="Arial" w:hAnsi="Arial" w:eastAsia="Arial" w:cs="Arial"/>
        </w:rPr>
        <w:t xml:space="preserve"> Нужны решения о форме удостоверения, электронном реестре, порядке подтверждения интеграции, сроках рассмотрения и межведомственных проверках.</w:t>
      </w:r>
    </w:p>
    <w:p>
      <w:pPr>
        <w:spacing w:after="60"/>
        <w:ind w:left="340" w:hanging="198"/>
      </w:pPr>
      <w:r>
        <w:rPr>
          <w:rFonts w:ascii="Arial" w:hAnsi="Arial" w:eastAsia="Arial" w:cs="Arial"/>
          <w:b/>
        </w:rPr>
        <w:t xml:space="preserve">• </w:t>
      </w:r>
      <w:r>
        <w:rPr>
          <w:rFonts w:ascii="Arial" w:hAnsi="Arial" w:eastAsia="Arial" w:cs="Arial"/>
          <w:b/>
        </w:rPr>
        <w:t>Конституционный пакет.</w:t>
      </w:r>
      <w:r>
        <w:rPr>
          <w:rFonts w:ascii="Arial" w:hAnsi="Arial" w:eastAsia="Arial" w:cs="Arial"/>
        </w:rPr>
        <w:t xml:space="preserve"> Если государство хочет абсолютную и несомненную гарантию невыдачи и усиленную конституционную защиту, этот пакет должен запускаться синхронно с конституционным пакетом № 02.</w:t>
      </w:r>
    </w:p>
    <w:p>
      <w:pPr>
        <w:pStyle w:val="Heading1Custom"/>
      </w:pPr>
      <w:r>
        <w:rPr>
          <w:rFonts w:ascii="Arial" w:hAnsi="Arial" w:eastAsia="Arial" w:cs="Arial"/>
        </w:rPr>
        <w:t>7. Пояснительная записка</w:t>
      </w:r>
    </w:p>
    <w:p>
      <w:pPr>
        <w:pStyle w:val="Heading2Custom"/>
      </w:pPr>
      <w:r>
        <w:rPr>
          <w:rFonts w:ascii="Arial" w:hAnsi="Arial" w:eastAsia="Arial" w:cs="Arial"/>
        </w:rPr>
        <w:t>7.1. Почему это удобная резервная модель</w:t>
      </w:r>
    </w:p>
    <w:p>
      <w:pPr/>
      <w:r>
        <w:rPr>
          <w:rFonts w:ascii="Arial" w:hAnsi="Arial" w:eastAsia="Arial" w:cs="Arial"/>
        </w:rPr>
        <w:t>Специальная гражданская принадлежность легче презентовать политически: она не требует немедленно пересматривать всю идею гражданства, но решает практическую задачу защищённого долгосрочного присутствия. Эта модель особенно полезна в переговорах с теми государственными акторами, которые готовы расширять права и защиту, но пока осторожно относятся к термину «временное гражданство».</w:t>
      </w:r>
    </w:p>
    <w:p>
      <w:pPr>
        <w:pStyle w:val="Heading2Custom"/>
      </w:pPr>
      <w:r>
        <w:rPr>
          <w:rFonts w:ascii="Arial" w:hAnsi="Arial" w:eastAsia="Arial" w:cs="Arial"/>
        </w:rPr>
        <w:t>7.2. Почему статус должен быть именно гражданоподобным</w:t>
      </w:r>
    </w:p>
    <w:p>
      <w:pPr/>
      <w:r>
        <w:rPr>
          <w:rFonts w:ascii="Arial" w:hAnsi="Arial" w:eastAsia="Arial" w:cs="Arial"/>
        </w:rPr>
        <w:t xml:space="preserve">Если сделать новый статус слишком похожим на обычный вид проживания, он не решит исходную проблему уязвимости. Поэтому пакет предлагает именно </w:t>
      </w:r>
      <w:r>
        <w:rPr>
          <w:rFonts w:ascii="Arial" w:hAnsi="Arial" w:eastAsia="Arial" w:cs="Arial"/>
          <w:b/>
        </w:rPr>
        <w:t>усиленный статус</w:t>
      </w:r>
      <w:r>
        <w:rPr>
          <w:rFonts w:ascii="Arial" w:hAnsi="Arial" w:eastAsia="Arial" w:cs="Arial"/>
        </w:rPr>
        <w:t>, где центральными являются право долгосрочного возврата, высокая степень административной защищённости, документ статуса и понятная траектория к гражданству.</w:t>
      </w:r>
    </w:p>
    <w:p>
      <w:pPr>
        <w:pStyle w:val="Heading2Custom"/>
      </w:pPr>
      <w:r>
        <w:rPr>
          <w:rFonts w:ascii="Arial" w:hAnsi="Arial" w:eastAsia="Arial" w:cs="Arial"/>
        </w:rPr>
        <w:t>7.3. Почему важно не смешивать его с политическими правами</w:t>
      </w:r>
    </w:p>
    <w:p>
      <w:pPr/>
      <w:r>
        <w:rPr>
          <w:rFonts w:ascii="Arial" w:hAnsi="Arial" w:eastAsia="Arial" w:cs="Arial"/>
        </w:rPr>
        <w:t>Смысл статуса — защищённость и интеграция, а не перераспределение политического суверенитета. Поэтому пакет сознательно не включает избирательные права и не пытается заменить полное гражданство там, где речь идёт о народовластии и формировании органов власти.</w:t>
      </w:r>
    </w:p>
    <w:p>
      <w:pPr>
        <w:pStyle w:val="Heading1Custom"/>
      </w:pPr>
      <w:r>
        <w:rPr>
          <w:rFonts w:ascii="Arial" w:hAnsi="Arial" w:eastAsia="Arial" w:cs="Arial"/>
        </w:rPr>
        <w:t>8. Риски и предохранители</w:t>
      </w:r>
    </w:p>
    <w:p>
      <w:pPr>
        <w:spacing w:after="60"/>
        <w:ind w:left="340" w:hanging="198"/>
      </w:pPr>
      <w:r>
        <w:rPr>
          <w:rFonts w:ascii="Arial" w:hAnsi="Arial" w:eastAsia="Arial" w:cs="Arial"/>
          <w:b/>
        </w:rPr>
        <w:t xml:space="preserve">• </w:t>
      </w:r>
      <w:r>
        <w:rPr>
          <w:rFonts w:ascii="Arial" w:hAnsi="Arial" w:eastAsia="Arial" w:cs="Arial"/>
          <w:b/>
        </w:rPr>
        <w:t>Риск размытости статуса.</w:t>
      </w:r>
      <w:r>
        <w:rPr>
          <w:rFonts w:ascii="Arial" w:hAnsi="Arial" w:eastAsia="Arial" w:cs="Arial"/>
        </w:rPr>
        <w:t xml:space="preserve"> Предохранитель: закон должен прямо назвать статус, закрепить его документ и установить закрытый перечень прав и гарантий.</w:t>
      </w:r>
    </w:p>
    <w:p>
      <w:pPr>
        <w:spacing w:after="60"/>
        <w:ind w:left="340" w:hanging="198"/>
      </w:pPr>
      <w:r>
        <w:rPr>
          <w:rFonts w:ascii="Arial" w:hAnsi="Arial" w:eastAsia="Arial" w:cs="Arial"/>
          <w:b/>
        </w:rPr>
        <w:t xml:space="preserve">• </w:t>
      </w:r>
      <w:r>
        <w:rPr>
          <w:rFonts w:ascii="Arial" w:hAnsi="Arial" w:eastAsia="Arial" w:cs="Arial"/>
          <w:b/>
        </w:rPr>
        <w:t>Риск смешения с обычным видом проживания.</w:t>
      </w:r>
      <w:r>
        <w:rPr>
          <w:rFonts w:ascii="Arial" w:hAnsi="Arial" w:eastAsia="Arial" w:cs="Arial"/>
        </w:rPr>
        <w:t xml:space="preserve"> Предохранитель: в законе нужно подчеркнуть, что это не миграционная льгота, а особая устойчивая связь с государством.</w:t>
      </w:r>
    </w:p>
    <w:p>
      <w:pPr>
        <w:spacing w:after="60"/>
        <w:ind w:left="340" w:hanging="198"/>
      </w:pPr>
      <w:r>
        <w:rPr>
          <w:rFonts w:ascii="Arial" w:hAnsi="Arial" w:eastAsia="Arial" w:cs="Arial"/>
          <w:b/>
        </w:rPr>
        <w:t xml:space="preserve">• </w:t>
      </w:r>
      <w:r>
        <w:rPr>
          <w:rFonts w:ascii="Arial" w:hAnsi="Arial" w:eastAsia="Arial" w:cs="Arial"/>
          <w:b/>
        </w:rPr>
        <w:t>Риск частичной бесполезности без конституционного пакета.</w:t>
      </w:r>
      <w:r>
        <w:rPr>
          <w:rFonts w:ascii="Arial" w:hAnsi="Arial" w:eastAsia="Arial" w:cs="Arial"/>
        </w:rPr>
        <w:t xml:space="preserve"> Предохранитель: сразу указывать, какие эффекты возможны обычным законом, а для каких нужен пакет № 02.</w:t>
      </w:r>
    </w:p>
    <w:p>
      <w:pPr>
        <w:spacing w:after="60"/>
        <w:ind w:left="340" w:hanging="198"/>
      </w:pPr>
      <w:r>
        <w:rPr>
          <w:rFonts w:ascii="Arial" w:hAnsi="Arial" w:eastAsia="Arial" w:cs="Arial"/>
          <w:b/>
        </w:rPr>
        <w:t xml:space="preserve">• </w:t>
      </w:r>
      <w:r>
        <w:rPr>
          <w:rFonts w:ascii="Arial" w:hAnsi="Arial" w:eastAsia="Arial" w:cs="Arial"/>
          <w:b/>
        </w:rPr>
        <w:t>Риск завышенных ожиданий относительно международного признания документов.</w:t>
      </w:r>
      <w:r>
        <w:rPr>
          <w:rFonts w:ascii="Arial" w:hAnsi="Arial" w:eastAsia="Arial" w:cs="Arial"/>
        </w:rPr>
        <w:t xml:space="preserve"> Предохранитель: та же прямая оговорка, что и в пакете временного гражданства.</w:t>
      </w:r>
    </w:p>
    <w:p>
      <w:pPr>
        <w:pStyle w:val="Heading1Custom"/>
      </w:pPr>
      <w:r>
        <w:rPr>
          <w:rFonts w:ascii="Arial" w:hAnsi="Arial" w:eastAsia="Arial" w:cs="Arial"/>
        </w:rPr>
        <w:t>9. Рекомендуемая формула презентации государству</w:t>
      </w:r>
    </w:p>
    <w:p>
      <w:pPr/>
      <w:r>
        <w:rPr>
          <w:rFonts w:ascii="Arial" w:hAnsi="Arial" w:eastAsia="Arial" w:cs="Arial"/>
        </w:rPr>
        <w:t>Специальную гражданскую принадлежность стоит представлять как юридически осторожный, но реально работающий статус доверия и правовой интеграции: Армения признаёт устойчивую связь лица со страной, даёт высокий объём прав и защиту, но не меняет сразу саму конституционную природу полного гражданства. Это делает модель хорошим резервным или переходным решением.</w:t>
      </w:r>
    </w:p>
    <w:p>
      <w:pPr>
        <w:pStyle w:val="Heading1Custom"/>
      </w:pPr>
      <w:r>
        <w:rPr>
          <w:rFonts w:ascii="Arial" w:hAnsi="Arial" w:eastAsia="Arial" w:cs="Arial"/>
        </w:rPr>
        <w:t>10. Перечень приложений к пакету</w:t>
      </w:r>
    </w:p>
    <w:p>
      <w:pPr>
        <w:spacing w:after="60"/>
        <w:ind w:left="340" w:hanging="198"/>
      </w:pPr>
      <w:r>
        <w:rPr>
          <w:rFonts w:ascii="Arial" w:hAnsi="Arial" w:eastAsia="Arial" w:cs="Arial"/>
          <w:b/>
        </w:rPr>
        <w:t xml:space="preserve">• </w:t>
      </w:r>
      <w:r>
        <w:rPr>
          <w:rFonts w:ascii="Arial" w:hAnsi="Arial" w:eastAsia="Arial" w:cs="Arial"/>
        </w:rPr>
        <w:t>краткое сопроводительное письмо;</w:t>
      </w:r>
    </w:p>
    <w:p>
      <w:pPr>
        <w:spacing w:after="60"/>
        <w:ind w:left="340" w:hanging="198"/>
      </w:pPr>
      <w:r>
        <w:rPr>
          <w:rFonts w:ascii="Arial" w:hAnsi="Arial" w:eastAsia="Arial" w:cs="Arial"/>
          <w:b/>
        </w:rPr>
        <w:t xml:space="preserve">• </w:t>
      </w:r>
      <w:r>
        <w:rPr>
          <w:rFonts w:ascii="Arial" w:hAnsi="Arial" w:eastAsia="Arial" w:cs="Arial"/>
        </w:rPr>
        <w:t>таблица сравнения со статусом проживания и временным гражданством;</w:t>
      </w:r>
    </w:p>
    <w:p>
      <w:pPr>
        <w:spacing w:after="60"/>
        <w:ind w:left="340" w:hanging="198"/>
      </w:pPr>
      <w:r>
        <w:rPr>
          <w:rFonts w:ascii="Arial" w:hAnsi="Arial" w:eastAsia="Arial" w:cs="Arial"/>
          <w:b/>
        </w:rPr>
        <w:t xml:space="preserve">• </w:t>
      </w:r>
      <w:r>
        <w:rPr>
          <w:rFonts w:ascii="Arial" w:hAnsi="Arial" w:eastAsia="Arial" w:cs="Arial"/>
        </w:rPr>
        <w:t>одностраничное резюме для Правительства и профильных комиссий;</w:t>
      </w:r>
    </w:p>
    <w:p>
      <w:pPr>
        <w:spacing w:after="60"/>
        <w:ind w:left="340" w:hanging="198"/>
      </w:pPr>
      <w:r>
        <w:rPr>
          <w:rFonts w:ascii="Arial" w:hAnsi="Arial" w:eastAsia="Arial" w:cs="Arial"/>
          <w:b/>
        </w:rPr>
        <w:t xml:space="preserve">• </w:t>
      </w:r>
      <w:r>
        <w:rPr>
          <w:rFonts w:ascii="Arial" w:hAnsi="Arial" w:eastAsia="Arial" w:cs="Arial"/>
        </w:rPr>
        <w:t>концептуальный проект решения Правительства о документировании статуса;</w:t>
      </w:r>
    </w:p>
    <w:p>
      <w:pPr>
        <w:spacing w:after="60"/>
        <w:ind w:left="340" w:hanging="198"/>
      </w:pPr>
      <w:r>
        <w:rPr>
          <w:rFonts w:ascii="Arial" w:hAnsi="Arial" w:eastAsia="Arial" w:cs="Arial"/>
          <w:b/>
        </w:rPr>
        <w:t xml:space="preserve">• </w:t>
      </w:r>
      <w:r>
        <w:rPr>
          <w:rFonts w:ascii="Arial" w:hAnsi="Arial" w:eastAsia="Arial" w:cs="Arial"/>
        </w:rPr>
        <w:t>FAQ по различию между гражданством, временным гражданством и гражданской принадлежностью.</w:t>
      </w:r>
    </w:p>
    <w:p>
      <w:pPr>
        <w:pStyle w:val="QuoteBox"/>
        <w:shd w:fill="F6F7F9" w:val="clear" w:color="auto"/>
        <w:pBdr>
          <w:left w:val="single" w:sz="10" w:space="6" w:color="C9D0DA"/>
        </w:pBdr>
      </w:pPr>
      <w:r>
        <w:rPr>
          <w:rFonts w:ascii="Arial" w:hAnsi="Arial" w:eastAsia="Arial" w:cs="Arial"/>
          <w:b/>
        </w:rPr>
        <w:t xml:space="preserve">Базовые официальные опоры пакета: </w:t>
      </w:r>
      <w:r>
        <w:rPr>
          <w:rFonts w:ascii="Arial" w:hAnsi="Arial" w:eastAsia="Arial" w:cs="Arial"/>
        </w:rPr>
        <w:t>Конституция Республики Армения (ARLIS, статьи 40, 47, 48, 55, 202); Закон Республики Армения «О гражданстве Республики Армения» (ARLIS, статьи 5, 9, 13, 26); Официальная страница МИД Армении о гражданстве; Официальная страница МИД Армении о special residency status; Официальная страница Правительства Республики Армения о структуре Правительства; Официальная страница Президента Республики Армения</w:t>
      </w:r>
    </w:p>
    <w:p>
      <w:pPr>
        <w:pStyle w:val="Heading1Custom"/>
      </w:pPr>
      <w:r>
        <w:rPr>
          <w:rFonts w:ascii="Arial" w:hAnsi="Arial" w:eastAsia="Arial" w:cs="Arial"/>
        </w:rPr>
        <w:t>11. Что именно получает Армения от введения гражданской принадлежности</w:t>
      </w:r>
    </w:p>
    <w:p>
      <w:pPr/>
      <w:r>
        <w:rPr>
          <w:rFonts w:ascii="Arial" w:hAnsi="Arial" w:eastAsia="Arial" w:cs="Arial"/>
        </w:rPr>
        <w:t>• гражданская принадлежность даёт Армении более мягкий и быстрее внедряемый инструмент удержания людей, чем немедленное введение нового вида гражданства;</w:t>
      </w:r>
    </w:p>
    <w:p>
      <w:pPr/>
      <w:r>
        <w:rPr>
          <w:rFonts w:ascii="Arial" w:hAnsi="Arial" w:eastAsia="Arial" w:cs="Arial"/>
        </w:rPr>
        <w:t>• государство получает длительную правовую связь с человеком без немедленного перераспределения полного политического статуса;</w:t>
      </w:r>
    </w:p>
    <w:p>
      <w:pPr/>
      <w:r>
        <w:rPr>
          <w:rFonts w:ascii="Arial" w:hAnsi="Arial" w:eastAsia="Arial" w:cs="Arial"/>
        </w:rPr>
        <w:t>• статус снижает вероятность вторичной миграции в другие страны, поскольку даёт человеку реальную защищённость и долгий горизонт жизни в Армении;</w:t>
      </w:r>
    </w:p>
    <w:p>
      <w:pPr/>
      <w:r>
        <w:rPr>
          <w:rFonts w:ascii="Arial" w:hAnsi="Arial" w:eastAsia="Arial" w:cs="Arial"/>
        </w:rPr>
        <w:t>• Армения усиливает собственную привлекательность как центр региональной релокации, инноваций и предпринимательства;</w:t>
      </w:r>
    </w:p>
    <w:p>
      <w:pPr/>
      <w:r>
        <w:rPr>
          <w:rFonts w:ascii="Arial" w:hAnsi="Arial" w:eastAsia="Arial" w:cs="Arial"/>
        </w:rPr>
        <w:t>• правовая система получает промежуточный, но сильный институт, который можно использовать как мост к полному гражданству.</w:t>
      </w:r>
    </w:p>
    <w:p>
      <w:pPr>
        <w:pStyle w:val="Heading1Custom"/>
      </w:pPr>
      <w:r>
        <w:rPr>
          <w:rFonts w:ascii="Arial" w:hAnsi="Arial" w:eastAsia="Arial" w:cs="Arial"/>
        </w:rPr>
        <w:t>12. Временное гражданство и гражданская принадлежность: выбор одного статуса или параллельный запуск</w:t>
      </w:r>
    </w:p>
    <w:p>
      <w:pPr/>
      <w:r>
        <w:rPr>
          <w:rFonts w:ascii="Arial" w:hAnsi="Arial" w:eastAsia="Arial" w:cs="Arial"/>
        </w:rPr>
        <w:t>1. модель выбора одного статуса: государство вправе рассмотреть временное гражданство и гражданскую принадлежность как два самостоятельных проекта и принять только один из них;</w:t>
      </w:r>
    </w:p>
    <w:p>
      <w:pPr/>
      <w:r>
        <w:rPr>
          <w:rFonts w:ascii="Arial" w:hAnsi="Arial" w:eastAsia="Arial" w:cs="Arial"/>
        </w:rPr>
        <w:t>2. модель параллельного запуска: государство вправе одновременно принять оба статуса и предоставить заявителю или уполномоченному органу выбор наилучшего маршрута в зависимости от степени интеграции, семейной ситуации и публичного интереса;</w:t>
      </w:r>
    </w:p>
    <w:p>
      <w:pPr/>
      <w:r>
        <w:rPr>
          <w:rFonts w:ascii="Arial" w:hAnsi="Arial" w:eastAsia="Arial" w:cs="Arial"/>
        </w:rPr>
        <w:t>3. модель поэтапного введения: гражданская принадлежность запускается первой как более быстрый законодательный трек, а временное гражданство вводится после прохождения конституционного маршрута;</w:t>
      </w:r>
    </w:p>
    <w:p>
      <w:pPr/>
      <w:r>
        <w:rPr>
          <w:rFonts w:ascii="Arial" w:hAnsi="Arial" w:eastAsia="Arial" w:cs="Arial"/>
        </w:rPr>
        <w:t>4. в нормативных текстах целесообразно прямо закрепить, что наличие гражданской принадлежности не препятствует последующему обращению за временным гражданством или полным гражданством, если лицо соответствует установленным законом критериям.</w:t>
      </w:r>
    </w:p>
    <w:p>
      <w:pPr>
        <w:pStyle w:val="Heading1Custom"/>
      </w:pPr>
      <w:r>
        <w:rPr>
          <w:rFonts w:ascii="Arial" w:hAnsi="Arial" w:eastAsia="Arial" w:cs="Arial"/>
        </w:rPr>
        <w:t>13. Раздел общественной поддержки реформы и личной поддержки Премьер-министра Республики Армения</w:t>
      </w:r>
    </w:p>
    <w:p>
      <w:pPr/>
      <w:r>
        <w:rPr>
          <w:rFonts w:ascii="Arial" w:hAnsi="Arial" w:eastAsia="Arial" w:cs="Arial"/>
        </w:rPr>
        <w:t>Сообщество релокантов, поддерживающее реформу, выражает личную политическую поддержку Премьер-министру Республики Армения Николу Пашиняну как руководителю, при котором Армения сохранила открытость к реформам, институциональному диалогу и правовой интеграции новых жителей.</w:t>
      </w:r>
    </w:p>
    <w:p>
      <w:pPr/>
      <w:r>
        <w:rPr>
          <w:rFonts w:ascii="Arial" w:hAnsi="Arial" w:eastAsia="Arial" w:cs="Arial"/>
        </w:rPr>
        <w:t>Сообщество заявляет о желании двигаться вместе с Николом Пашиняном и его политической командой в следующих электоральных циклах и связывать с этим курсом своё долгосрочное будущее в Армении. До приобретения предусмотренных законом избирательных прав такая поддержка выражается в общественной, экспертной, публичной и организационной плоскости; после получения соответствующего статуса и прав — также в политическом процессе в пределах, допускаемых Конституцией и законами Республики Армения.</w:t>
      </w:r>
    </w:p>
    <w:p>
      <w:pPr>
        <w:pStyle w:val="QuoteBox"/>
        <w:shd w:fill="F6F7F9" w:val="clear" w:color="auto"/>
        <w:pBdr>
          <w:left w:val="single" w:sz="10" w:space="6" w:color="C9D0DA"/>
        </w:pBdr>
      </w:pPr>
      <w:r>
        <w:rPr>
          <w:rFonts w:ascii="Arial" w:hAnsi="Arial" w:eastAsia="Arial" w:cs="Arial"/>
        </w:rPr>
        <w:t>Готовая формула для публичного использования: «Сообщество релокантов поддерживает Премьер-министра Никола Пашиняна и его реформаторский курс, связывает своё долгосрочное будущее с Арменией и по мере получения предусмотренных законом прав готово двигаться вместе с ним и его командой в будущих выборах».</w:t>
      </w:r>
    </w:p>
    <w:p>
      <w:r>
        <w:rPr>
          <w:rFonts w:ascii="Arial" w:hAnsi="Arial" w:eastAsia="Arial" w:cs="Arial"/>
        </w:rPr>
        <w:br w:type="page"/>
      </w:r>
    </w:p>
    <w:tbl>
      <w:tblPr>
        <w:tblW w:type="auto" w:w="0"/>
        <w:tblLook w:firstColumn="1" w:firstRow="1" w:lastColumn="0" w:lastRow="0" w:noHBand="0" w:noVBand="1" w:val="04A0"/>
        <w:tblCellMar>
          <w:top w:w="0" w:type="dxa"/>
          <w:start w:w="0" w:type="dxa"/>
          <w:bottom w:w="0" w:type="dxa"/>
          <w:end w:w="0" w:type="dxa"/>
        </w:tblCellMar>
        <w:jc w:val="center"/>
        <w:tblBorders>
          <w:top w:val="nil" w:sz="0" w:space="0" w:color="C9CED6"/>
          <w:left w:val="nil" w:sz="0" w:space="0" w:color="C9CED6"/>
          <w:bottom w:val="nil" w:sz="0" w:space="0" w:color="C9CED6"/>
          <w:right w:val="nil" w:sz="0" w:space="0" w:color="C9CED6"/>
          <w:insideH w:val="nil" w:sz="0" w:space="0" w:color="C9CED6"/>
          <w:insideV w:val="nil" w:sz="0" w:space="0" w:color="C9CED6"/>
        </w:tblBorders>
      </w:tblPr>
      <w:tblGrid>
        <w:gridCol w:w="3175"/>
        <w:gridCol w:w="3175"/>
        <w:gridCol w:w="3175"/>
      </w:tblGrid>
      <w:tr>
        <w:tc>
          <w:tcPr>
            <w:tcW w:type="dxa" w:w="3175"/>
            <w:shd w:fill="D90012"/>
            <w:tcBorders>
              <w:top w:sz="0" w:val="nil" w:color="FFFFFF"/>
              <w:bottom w:sz="0" w:val="nil" w:color="FFFFFF"/>
              <w:left w:sz="0" w:val="nil" w:color="FFFFFF"/>
              <w:right w:sz="0" w:val="nil" w:color="FFFFFF"/>
            </w:tcBorders>
            <w:vAlign w:val="center"/>
          </w:tcPr>
          <w:p>
            <w:pPr>
              <w:spacing w:after="50" w:before="0" w:line="269" w:lineRule="auto"/>
            </w:pPr>
          </w:p>
        </w:tc>
        <w:tc>
          <w:tcPr>
            <w:tcW w:type="dxa" w:w="3175"/>
            <w:shd w:fill="0033A0"/>
            <w:tcBorders>
              <w:top w:sz="0" w:val="nil" w:color="FFFFFF"/>
              <w:bottom w:sz="0" w:val="nil" w:color="FFFFFF"/>
              <w:left w:sz="0" w:val="nil" w:color="FFFFFF"/>
              <w:right w:sz="0" w:val="nil" w:color="FFFFFF"/>
            </w:tcBorders>
            <w:vAlign w:val="center"/>
          </w:tcPr>
          <w:p>
            <w:pPr>
              <w:spacing w:after="50" w:before="0" w:line="269" w:lineRule="auto"/>
            </w:pPr>
          </w:p>
        </w:tc>
        <w:tc>
          <w:tcPr>
            <w:tcW w:type="dxa" w:w="3175"/>
            <w:shd w:fill="F2A800"/>
            <w:tcBorders>
              <w:top w:sz="0" w:val="nil" w:color="FFFFFF"/>
              <w:bottom w:sz="0" w:val="nil" w:color="FFFFFF"/>
              <w:left w:sz="0" w:val="nil" w:color="FFFFFF"/>
              <w:right w:sz="0" w:val="nil" w:color="FFFFFF"/>
            </w:tcBorders>
            <w:vAlign w:val="center"/>
          </w:tcPr>
          <w:p>
            <w:pPr>
              <w:spacing w:after="50" w:before="0" w:line="269" w:lineRule="auto"/>
            </w:pPr>
          </w:p>
        </w:tc>
      </w:tr>
    </w:tbl>
    <w:p/>
    <w:p>
      <w:pPr>
        <w:pStyle w:val="SmallGray"/>
        <w:jc w:val="center"/>
      </w:pPr>
      <w:r>
        <w:rPr>
          <w:rFonts w:ascii="Arial" w:hAnsi="Arial" w:eastAsia="Arial" w:cs="Arial"/>
        </w:rPr>
        <w:t>ПАКЕТ 05 • РАБОЧАЯ РУССКОЯЗЫЧНАЯ РЕДАКЦИЯ ДЛЯ ГОСУДАРСТВЕННОГО ПРЕДСТАВЛЕНИЯ</w:t>
      </w:r>
    </w:p>
    <w:p>
      <w:pPr>
        <w:pStyle w:val="TitleCustom"/>
        <w:jc w:val="center"/>
      </w:pPr>
      <w:r>
        <w:rPr>
          <w:rFonts w:ascii="Arial" w:hAnsi="Arial" w:eastAsia="Arial" w:cs="Arial"/>
        </w:rPr>
        <w:t>Пакет НКО релокантов</w:t>
      </w:r>
    </w:p>
    <w:p>
      <w:pPr>
        <w:pStyle w:val="SubtitleCustom"/>
        <w:jc w:val="center"/>
      </w:pPr>
      <w:r>
        <w:rPr>
          <w:rFonts w:ascii="Arial" w:hAnsi="Arial" w:eastAsia="Arial" w:cs="Arial"/>
        </w:rPr>
        <w:t>Концепция, миссия, цели, проект устава, организационная модель, программа работы и регистрационный чек-лист для некоммерческой структуры, поддерживающей инициативу реформы</w:t>
      </w:r>
    </w:p>
    <w:tbl>
      <w:tblPr>
        <w:tblW w:type="auto" w:w="0"/>
        <w:tblLook w:firstColumn="1" w:firstRow="1" w:lastColumn="0" w:lastRow="0" w:noHBand="0" w:noVBand="1" w:val="04A0"/>
        <w:tblCellMar>
          <w:top w:w="85" w:type="dxa"/>
          <w:start w:w="100" w:type="dxa"/>
          <w:bottom w:w="85" w:type="dxa"/>
          <w:end w:w="100" w:type="dxa"/>
        </w:tblCellMar>
        <w:jc w:val="center"/>
        <w:tblBorders>
          <w:top w:val="single" w:sz="5" w:space="0" w:color="C9CED6"/>
          <w:left w:val="single" w:sz="5" w:space="0" w:color="C9CED6"/>
          <w:bottom w:val="single" w:sz="5" w:space="0" w:color="C9CED6"/>
          <w:right w:val="single" w:sz="5" w:space="0" w:color="C9CED6"/>
          <w:insideH w:val="single" w:sz="5" w:space="0" w:color="C9CED6"/>
          <w:insideV w:val="single" w:sz="5" w:space="0" w:color="C9CED6"/>
        </w:tblBorders>
      </w:tblPr>
      <w:tblGrid>
        <w:gridCol w:w="2268"/>
        <w:gridCol w:w="6520"/>
      </w:tblGrid>
      <w:tr>
        <w:tc>
          <w:tcPr>
            <w:tcW w:type="dxa" w:w="4762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  <w:shd w:fill="F5F7FA" w:color="auto" w:val="clear"/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/>
                <w:color w:val="27303A"/>
                <w:sz w:val="21"/>
              </w:rPr>
              <w:t>Дата</w:t>
            </w:r>
          </w:p>
        </w:tc>
        <w:tc>
          <w:tcPr>
            <w:tcW w:type="dxa" w:w="4762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</w:rPr>
              <w:t>28 марта 2026 года</w:t>
            </w:r>
          </w:p>
        </w:tc>
      </w:tr>
      <w:tr>
        <w:tc>
          <w:tcPr>
            <w:tcW w:type="dxa" w:w="4762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  <w:shd w:fill="F5F7FA" w:color="auto" w:val="clear"/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/>
                <w:color w:val="27303A"/>
                <w:sz w:val="21"/>
              </w:rPr>
              <w:t>Статус</w:t>
            </w:r>
          </w:p>
        </w:tc>
        <w:tc>
          <w:tcPr>
            <w:tcW w:type="dxa" w:w="4762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</w:rPr>
              <w:t>Подготовленный рабочий пакет для государственной презентации, подачи и последующей армяноязычной юридико-технической адаптации</w:t>
            </w:r>
          </w:p>
        </w:tc>
      </w:tr>
    </w:tbl>
    <w:p/>
    <w:p>
      <w:pPr>
        <w:pStyle w:val="QuoteBox"/>
        <w:shd w:fill="F6F7F9" w:val="clear" w:color="auto"/>
        <w:pBdr>
          <w:left w:val="single" w:sz="10" w:space="6" w:color="C9D0DA"/>
        </w:pBdr>
      </w:pPr>
      <w:r>
        <w:rPr>
          <w:rFonts w:ascii="Arial" w:hAnsi="Arial" w:eastAsia="Arial" w:cs="Arial"/>
          <w:b/>
        </w:rPr>
        <w:t xml:space="preserve">Примечание. </w:t>
      </w:r>
      <w:r>
        <w:rPr>
          <w:rFonts w:ascii="Arial" w:hAnsi="Arial" w:eastAsia="Arial" w:cs="Arial"/>
        </w:rPr>
        <w:t>Все проекты составлены на русском языке как рабочая версия для государственной презентации. Для официального внесения в органы Республики Армения требуется параллельная армяноязычная юридико-техническая редакция и финальная сверка с актуальными редакциями актов в ARLIS.</w:t>
      </w:r>
    </w:p>
    <w:p>
      <w:r>
        <w:rPr>
          <w:rFonts w:ascii="Arial" w:hAnsi="Arial" w:eastAsia="Arial" w:cs="Arial"/>
        </w:rPr>
        <w:br w:type="page"/>
      </w:r>
    </w:p>
    <w:p>
      <w:pPr>
        <w:pStyle w:val="Heading1Custom"/>
      </w:pPr>
      <w:r>
        <w:rPr>
          <w:rFonts w:ascii="Arial" w:hAnsi="Arial" w:eastAsia="Arial" w:cs="Arial"/>
        </w:rPr>
        <w:t>1. Назначение пакета</w:t>
      </w:r>
    </w:p>
    <w:p>
      <w:pPr/>
      <w:r>
        <w:rPr>
          <w:rFonts w:ascii="Arial" w:hAnsi="Arial" w:eastAsia="Arial" w:cs="Arial"/>
        </w:rPr>
        <w:t xml:space="preserve">НКО нужна не как второстепенное приложение к законопроекту, а как </w:t>
      </w:r>
      <w:r>
        <w:rPr>
          <w:rFonts w:ascii="Arial" w:hAnsi="Arial" w:eastAsia="Arial" w:cs="Arial"/>
          <w:b/>
        </w:rPr>
        <w:t>постоянная институциональная опора</w:t>
      </w:r>
      <w:r>
        <w:rPr>
          <w:rFonts w:ascii="Arial" w:hAnsi="Arial" w:eastAsia="Arial" w:cs="Arial"/>
        </w:rPr>
        <w:t xml:space="preserve"> всей инициативы. Именно она сможет аккумулировать данные, формировать экспертную позицию, сопровождать заявителей, собирать кейсы, вести переговоры с государством, готовить публичные материалы и обеспечивать непрерывность кампании.</w:t>
      </w:r>
    </w:p>
    <w:p>
      <w:pPr/>
      <w:r>
        <w:rPr>
          <w:rFonts w:ascii="Arial" w:hAnsi="Arial" w:eastAsia="Arial" w:cs="Arial"/>
        </w:rPr>
        <w:t xml:space="preserve">Этот пакет сознательно подготовлен так, чтобы его можно было использовать в двух форматах: 1) как проект общественной организации с членством; 2) как проект фонда / иной некоммерческой структуры без членства, если учредители предпочтут более централизованную модель. Для целей правозащитной, адвокационной и представительской работы </w:t>
      </w:r>
      <w:r>
        <w:rPr>
          <w:rFonts w:ascii="Arial" w:hAnsi="Arial" w:eastAsia="Arial" w:cs="Arial"/>
          <w:b/>
        </w:rPr>
        <w:t>рекомендуемая модель — общественная организация с прозрачным членством и наблюдательным советом</w:t>
      </w:r>
      <w:r>
        <w:rPr>
          <w:rFonts w:ascii="Arial" w:hAnsi="Arial" w:eastAsia="Arial" w:cs="Arial"/>
        </w:rPr>
        <w:t>.</w:t>
      </w:r>
    </w:p>
    <w:p>
      <w:pPr>
        <w:pStyle w:val="Heading1Custom"/>
      </w:pPr>
      <w:r>
        <w:rPr>
          <w:rFonts w:ascii="Arial" w:hAnsi="Arial" w:eastAsia="Arial" w:cs="Arial"/>
        </w:rPr>
        <w:t>2. Цели, мотивы и преимущества создания НКО</w:t>
      </w:r>
    </w:p>
    <w:p>
      <w:pPr>
        <w:pStyle w:val="Heading2Custom"/>
      </w:pPr>
      <w:r>
        <w:rPr>
          <w:rFonts w:ascii="Arial" w:hAnsi="Arial" w:eastAsia="Arial" w:cs="Arial"/>
        </w:rPr>
        <w:t>2.1. Миссия</w:t>
      </w:r>
    </w:p>
    <w:p>
      <w:pPr/>
      <w:r>
        <w:rPr>
          <w:rFonts w:ascii="Arial" w:hAnsi="Arial" w:eastAsia="Arial" w:cs="Arial"/>
        </w:rPr>
        <w:t>Объединять релокантов и их союзников для законного, институционального и публичного продвижения безопасных статусов пребывания и правовой интеграции в Республике Армения.</w:t>
      </w:r>
    </w:p>
    <w:p>
      <w:pPr>
        <w:pStyle w:val="Heading2Custom"/>
      </w:pPr>
      <w:r>
        <w:rPr>
          <w:rFonts w:ascii="Arial" w:hAnsi="Arial" w:eastAsia="Arial" w:cs="Arial"/>
        </w:rPr>
        <w:t>2.2. Ключевые цели</w:t>
      </w:r>
    </w:p>
    <w:p>
      <w:pPr>
        <w:spacing w:after="60"/>
        <w:ind w:left="340" w:hanging="198"/>
      </w:pPr>
      <w:r>
        <w:rPr>
          <w:rFonts w:ascii="Arial" w:hAnsi="Arial" w:eastAsia="Arial" w:cs="Arial"/>
        </w:rPr>
        <w:t>• продвижение законопроекта о временном гражданстве и самостоятельного законопроекта о специальной гражданской принадлежности;</w:t>
      </w:r>
    </w:p>
    <w:p>
      <w:pPr>
        <w:spacing w:after="60"/>
        <w:ind w:left="340" w:hanging="198"/>
      </w:pPr>
      <w:r>
        <w:rPr>
          <w:rFonts w:ascii="Arial" w:hAnsi="Arial" w:eastAsia="Arial" w:cs="Arial"/>
          <w:b/>
        </w:rPr>
        <w:t xml:space="preserve">• </w:t>
      </w:r>
      <w:r>
        <w:rPr>
          <w:rFonts w:ascii="Arial" w:hAnsi="Arial" w:eastAsia="Arial" w:cs="Arial"/>
        </w:rPr>
        <w:t>юридическая и информационная поддержка релокантов, проживающих в Армении;</w:t>
      </w:r>
    </w:p>
    <w:p>
      <w:pPr>
        <w:spacing w:after="60"/>
        <w:ind w:left="340" w:hanging="198"/>
      </w:pPr>
      <w:r>
        <w:rPr>
          <w:rFonts w:ascii="Arial" w:hAnsi="Arial" w:eastAsia="Arial" w:cs="Arial"/>
          <w:b/>
        </w:rPr>
        <w:t xml:space="preserve">• </w:t>
      </w:r>
      <w:r>
        <w:rPr>
          <w:rFonts w:ascii="Arial" w:hAnsi="Arial" w:eastAsia="Arial" w:cs="Arial"/>
        </w:rPr>
        <w:t>сбор и систематизация кейсов, подтверждающих необходимость реформы;</w:t>
      </w:r>
    </w:p>
    <w:p>
      <w:pPr>
        <w:spacing w:after="60"/>
        <w:ind w:left="340" w:hanging="198"/>
      </w:pPr>
      <w:r>
        <w:rPr>
          <w:rFonts w:ascii="Arial" w:hAnsi="Arial" w:eastAsia="Arial" w:cs="Arial"/>
          <w:b/>
        </w:rPr>
        <w:t xml:space="preserve">• </w:t>
      </w:r>
      <w:r>
        <w:rPr>
          <w:rFonts w:ascii="Arial" w:hAnsi="Arial" w:eastAsia="Arial" w:cs="Arial"/>
        </w:rPr>
        <w:t>подготовка экспертных заключений, аналитики, обращений, брифов и публичных материалов;</w:t>
      </w:r>
    </w:p>
    <w:p>
      <w:pPr>
        <w:spacing w:after="60"/>
        <w:ind w:left="340" w:hanging="198"/>
      </w:pPr>
      <w:r>
        <w:rPr>
          <w:rFonts w:ascii="Arial" w:hAnsi="Arial" w:eastAsia="Arial" w:cs="Arial"/>
          <w:b/>
        </w:rPr>
        <w:t xml:space="preserve">• </w:t>
      </w:r>
      <w:r>
        <w:rPr>
          <w:rFonts w:ascii="Arial" w:hAnsi="Arial" w:eastAsia="Arial" w:cs="Arial"/>
        </w:rPr>
        <w:t>ведение диалога с Правительством, Национальным Собранием, офисом Омбудсмена, международными организациями и СМИ;</w:t>
      </w:r>
    </w:p>
    <w:p>
      <w:pPr>
        <w:spacing w:after="60"/>
        <w:ind w:left="340" w:hanging="198"/>
      </w:pPr>
      <w:r>
        <w:rPr>
          <w:rFonts w:ascii="Arial" w:hAnsi="Arial" w:eastAsia="Arial" w:cs="Arial"/>
          <w:b/>
        </w:rPr>
        <w:t xml:space="preserve">• </w:t>
      </w:r>
      <w:r>
        <w:rPr>
          <w:rFonts w:ascii="Arial" w:hAnsi="Arial" w:eastAsia="Arial" w:cs="Arial"/>
        </w:rPr>
        <w:t>развитие интеграционных программ: язык, навигация по праву, права семьи, документы, взаимодействие с государством.</w:t>
      </w:r>
    </w:p>
    <w:p>
      <w:pPr>
        <w:pStyle w:val="Heading2Custom"/>
      </w:pPr>
      <w:r>
        <w:rPr>
          <w:rFonts w:ascii="Arial" w:hAnsi="Arial" w:eastAsia="Arial" w:cs="Arial"/>
        </w:rPr>
        <w:t>2.3. Мотивы</w:t>
      </w:r>
    </w:p>
    <w:p>
      <w:pPr>
        <w:spacing w:after="60"/>
        <w:ind w:left="340" w:hanging="198"/>
      </w:pPr>
      <w:r>
        <w:rPr>
          <w:rFonts w:ascii="Arial" w:hAnsi="Arial" w:eastAsia="Arial" w:cs="Arial"/>
          <w:b/>
        </w:rPr>
        <w:t xml:space="preserve">• </w:t>
      </w:r>
      <w:r>
        <w:rPr>
          <w:rFonts w:ascii="Arial" w:hAnsi="Arial" w:eastAsia="Arial" w:cs="Arial"/>
        </w:rPr>
        <w:t>без самостоятельной структуры инициатива остаётся разовой кампанией и теряет устойчивость;</w:t>
      </w:r>
    </w:p>
    <w:p>
      <w:pPr>
        <w:spacing w:after="60"/>
        <w:ind w:left="340" w:hanging="198"/>
      </w:pPr>
      <w:r>
        <w:rPr>
          <w:rFonts w:ascii="Arial" w:hAnsi="Arial" w:eastAsia="Arial" w:cs="Arial"/>
          <w:b/>
        </w:rPr>
        <w:t xml:space="preserve">• </w:t>
      </w:r>
      <w:r>
        <w:rPr>
          <w:rFonts w:ascii="Arial" w:hAnsi="Arial" w:eastAsia="Arial" w:cs="Arial"/>
        </w:rPr>
        <w:t>государственным органам удобнее взаимодействовать с институциональным субъектом, а не с разрозненной группой лиц;</w:t>
      </w:r>
    </w:p>
    <w:p>
      <w:pPr>
        <w:spacing w:after="60"/>
        <w:ind w:left="340" w:hanging="198"/>
      </w:pPr>
      <w:r>
        <w:rPr>
          <w:rFonts w:ascii="Arial" w:hAnsi="Arial" w:eastAsia="Arial" w:cs="Arial"/>
          <w:b/>
        </w:rPr>
        <w:t xml:space="preserve">• </w:t>
      </w:r>
      <w:r>
        <w:rPr>
          <w:rFonts w:ascii="Arial" w:hAnsi="Arial" w:eastAsia="Arial" w:cs="Arial"/>
        </w:rPr>
        <w:t>НКО может выступать держателем экспертной памяти, коммуникационного стиля и переговорной позиции.</w:t>
      </w:r>
    </w:p>
    <w:p>
      <w:pPr>
        <w:pStyle w:val="Heading2Custom"/>
      </w:pPr>
      <w:r>
        <w:rPr>
          <w:rFonts w:ascii="Arial" w:hAnsi="Arial" w:eastAsia="Arial" w:cs="Arial"/>
        </w:rPr>
        <w:t>2.4. Преимущества</w:t>
      </w:r>
    </w:p>
    <w:p>
      <w:pPr>
        <w:spacing w:after="60"/>
        <w:ind w:left="340" w:hanging="198"/>
      </w:pPr>
      <w:r>
        <w:rPr>
          <w:rFonts w:ascii="Arial" w:hAnsi="Arial" w:eastAsia="Arial" w:cs="Arial"/>
          <w:b/>
        </w:rPr>
        <w:t xml:space="preserve">• </w:t>
      </w:r>
      <w:r>
        <w:rPr>
          <w:rFonts w:ascii="Arial" w:hAnsi="Arial" w:eastAsia="Arial" w:cs="Arial"/>
          <w:b/>
        </w:rPr>
        <w:t>Для реформы:</w:t>
      </w:r>
      <w:r>
        <w:rPr>
          <w:rFonts w:ascii="Arial" w:hAnsi="Arial" w:eastAsia="Arial" w:cs="Arial"/>
        </w:rPr>
        <w:t xml:space="preserve"> единый центр координации и ответственности.</w:t>
      </w:r>
    </w:p>
    <w:p>
      <w:pPr>
        <w:spacing w:after="60"/>
        <w:ind w:left="340" w:hanging="198"/>
      </w:pPr>
      <w:r>
        <w:rPr>
          <w:rFonts w:ascii="Arial" w:hAnsi="Arial" w:eastAsia="Arial" w:cs="Arial"/>
          <w:b/>
        </w:rPr>
        <w:t xml:space="preserve">• </w:t>
      </w:r>
      <w:r>
        <w:rPr>
          <w:rFonts w:ascii="Arial" w:hAnsi="Arial" w:eastAsia="Arial" w:cs="Arial"/>
          <w:b/>
        </w:rPr>
        <w:t>Для релокантов:</w:t>
      </w:r>
      <w:r>
        <w:rPr>
          <w:rFonts w:ascii="Arial" w:hAnsi="Arial" w:eastAsia="Arial" w:cs="Arial"/>
        </w:rPr>
        <w:t xml:space="preserve"> понятная точка входа за информацией, поддержкой и представительством.</w:t>
      </w:r>
    </w:p>
    <w:p>
      <w:pPr>
        <w:spacing w:after="60"/>
        <w:ind w:left="340" w:hanging="198"/>
      </w:pPr>
      <w:r>
        <w:rPr>
          <w:rFonts w:ascii="Arial" w:hAnsi="Arial" w:eastAsia="Arial" w:cs="Arial"/>
          <w:b/>
        </w:rPr>
        <w:t xml:space="preserve">• </w:t>
      </w:r>
      <w:r>
        <w:rPr>
          <w:rFonts w:ascii="Arial" w:hAnsi="Arial" w:eastAsia="Arial" w:cs="Arial"/>
          <w:b/>
        </w:rPr>
        <w:t>Для государства:</w:t>
      </w:r>
      <w:r>
        <w:rPr>
          <w:rFonts w:ascii="Arial" w:hAnsi="Arial" w:eastAsia="Arial" w:cs="Arial"/>
        </w:rPr>
        <w:t xml:space="preserve"> один предсказуемый контрагент для консультаций и рабочей коммуникации.</w:t>
      </w:r>
    </w:p>
    <w:p>
      <w:pPr>
        <w:pStyle w:val="Heading1Custom"/>
      </w:pPr>
      <w:r>
        <w:rPr>
          <w:rFonts w:ascii="Arial" w:hAnsi="Arial" w:eastAsia="Arial" w:cs="Arial"/>
        </w:rPr>
        <w:t>3. Рекомендуемая организационная модель</w:t>
      </w:r>
    </w:p>
    <w:tbl>
      <w:tblPr>
        <w:tblStyle w:val="TableGrid"/>
        <w:tblW w:type="auto" w:w="0"/>
        <w:tblLayout w:type="fixed"/>
        <w:tblLook w:firstColumn="1" w:firstRow="1" w:lastColumn="0" w:lastRow="0" w:noHBand="0" w:noVBand="1" w:val="04A0"/>
        <w:tblCellMar>
          <w:top w:w="85" w:type="dxa"/>
          <w:start w:w="100" w:type="dxa"/>
          <w:bottom w:w="85" w:type="dxa"/>
          <w:end w:w="100" w:type="dxa"/>
        </w:tblCellMar>
        <w:jc w:val="center"/>
        <w:tblBorders>
          <w:top w:val="single" w:sz="5" w:space="0" w:color="C9CED6"/>
          <w:left w:val="single" w:sz="5" w:space="0" w:color="C9CED6"/>
          <w:bottom w:val="single" w:sz="5" w:space="0" w:color="C9CED6"/>
          <w:right w:val="single" w:sz="5" w:space="0" w:color="C9CED6"/>
          <w:insideH w:val="single" w:sz="5" w:space="0" w:color="C9CED6"/>
          <w:insideV w:val="single" w:sz="5" w:space="0" w:color="C9CED6"/>
        </w:tblBorders>
      </w:tblPr>
      <w:tblGrid>
        <w:gridCol w:w="4762"/>
        <w:gridCol w:w="4762"/>
      </w:tblGrid>
      <w:tr>
        <w:tc>
          <w:tcPr>
            <w:tcW w:type="dxa" w:w="2551"/>
            <w:shd w:fill="F5F7FA" w:color="auto" w:val="clear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50" w:before="0" w:line="269" w:lineRule="auto"/>
              <w:jc w:val="center"/>
            </w:pPr>
            <w:r>
              <w:rPr>
                <w:rFonts w:ascii="Arial" w:hAnsi="Arial" w:eastAsia="Arial" w:cs="Arial"/>
                <w:b/>
                <w:color w:val="27303A"/>
                <w:sz w:val="21"/>
              </w:rPr>
              <w:t>Параметр</w:t>
            </w:r>
          </w:p>
        </w:tc>
        <w:tc>
          <w:tcPr>
            <w:tcW w:type="dxa" w:w="6633"/>
            <w:shd w:fill="ECECEC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50" w:before="0" w:line="269" w:lineRule="auto"/>
              <w:jc w:val="center"/>
            </w:pPr>
            <w:r>
              <w:rPr>
                <w:rFonts w:ascii="Arial" w:hAnsi="Arial" w:eastAsia="Arial" w:cs="Arial"/>
                <w:b/>
              </w:rPr>
              <w:t>Рекомендуемая модель</w:t>
            </w:r>
          </w:p>
        </w:tc>
      </w:tr>
      <w:tr>
        <w:tc>
          <w:tcPr>
            <w:tcW w:type="dxa" w:w="2551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  <w:tcMar>
              <w:top w:w="90" w:type="dxa"/>
              <w:left w:w="90" w:type="dxa"/>
              <w:bottom w:w="90" w:type="dxa"/>
              <w:right w:w="90" w:type="dxa"/>
            </w:tcMar>
            <w:shd w:fill="F5F7FA" w:color="auto" w:val="clear"/>
          </w:tcPr>
          <w:p>
            <w:pPr>
              <w:spacing w:after="50" w:before="0" w:line="269" w:lineRule="auto"/>
              <w:jc w:val="center"/>
            </w:pPr>
            <w:r>
              <w:rPr>
                <w:rFonts w:ascii="Arial" w:hAnsi="Arial" w:eastAsia="Arial" w:cs="Arial"/>
                <w:b/>
                <w:color w:val="27303A"/>
                <w:sz w:val="21"/>
              </w:rPr>
              <w:t>Правовая форма</w:t>
            </w:r>
          </w:p>
        </w:tc>
        <w:tc>
          <w:tcPr>
            <w:tcW w:type="dxa" w:w="6633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</w:rPr>
              <w:t>НКО / общественная организация с членством (резервно: фонд без членства)</w:t>
            </w:r>
          </w:p>
        </w:tc>
      </w:tr>
      <w:tr>
        <w:tc>
          <w:tcPr>
            <w:tcW w:type="dxa" w:w="2551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  <w:tcMar>
              <w:top w:w="90" w:type="dxa"/>
              <w:left w:w="90" w:type="dxa"/>
              <w:bottom w:w="90" w:type="dxa"/>
              <w:right w:w="90" w:type="dxa"/>
            </w:tcMar>
            <w:shd w:fill="F5F7FA" w:color="auto" w:val="clear"/>
          </w:tcPr>
          <w:p>
            <w:pPr>
              <w:spacing w:after="50" w:before="0" w:line="269" w:lineRule="auto"/>
              <w:jc w:val="center"/>
            </w:pPr>
            <w:r>
              <w:rPr>
                <w:rFonts w:ascii="Arial" w:hAnsi="Arial" w:eastAsia="Arial" w:cs="Arial"/>
                <w:b/>
                <w:color w:val="27303A"/>
                <w:sz w:val="21"/>
              </w:rPr>
              <w:t>Тип управления</w:t>
            </w:r>
          </w:p>
        </w:tc>
        <w:tc>
          <w:tcPr>
            <w:tcW w:type="dxa" w:w="6633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</w:rPr>
              <w:t>Общее собрание участников + Правление + Исполнительный директор + Наблюдательный совет</w:t>
            </w:r>
          </w:p>
        </w:tc>
      </w:tr>
      <w:tr>
        <w:tc>
          <w:tcPr>
            <w:tcW w:type="dxa" w:w="2551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  <w:tcMar>
              <w:top w:w="90" w:type="dxa"/>
              <w:left w:w="90" w:type="dxa"/>
              <w:bottom w:w="90" w:type="dxa"/>
              <w:right w:w="90" w:type="dxa"/>
            </w:tcMar>
            <w:shd w:fill="F5F7FA" w:color="auto" w:val="clear"/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/>
                <w:color w:val="27303A"/>
                <w:sz w:val="21"/>
              </w:rPr>
              <w:t>Характер деятельности</w:t>
            </w:r>
          </w:p>
        </w:tc>
        <w:tc>
          <w:tcPr>
            <w:tcW w:type="dxa" w:w="6633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</w:rPr>
              <w:t>Правозащитная, экспертная, образовательная, информационная, адвокационная</w:t>
            </w:r>
          </w:p>
        </w:tc>
      </w:tr>
      <w:tr>
        <w:tc>
          <w:tcPr>
            <w:tcW w:type="dxa" w:w="2551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  <w:tcMar>
              <w:top w:w="90" w:type="dxa"/>
              <w:left w:w="90" w:type="dxa"/>
              <w:bottom w:w="90" w:type="dxa"/>
              <w:right w:w="90" w:type="dxa"/>
            </w:tcMar>
            <w:shd w:fill="F5F7FA" w:color="auto" w:val="clear"/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/>
                <w:color w:val="27303A"/>
                <w:sz w:val="21"/>
              </w:rPr>
              <w:t>Территория деятельности</w:t>
            </w:r>
          </w:p>
        </w:tc>
        <w:tc>
          <w:tcPr>
            <w:tcW w:type="dxa" w:w="6633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</w:rPr>
              <w:t>Республика Армения; при необходимости — международное сотрудничество</w:t>
            </w:r>
          </w:p>
        </w:tc>
      </w:tr>
      <w:tr>
        <w:tc>
          <w:tcPr>
            <w:tcW w:type="dxa" w:w="2551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  <w:tcMar>
              <w:top w:w="90" w:type="dxa"/>
              <w:left w:w="90" w:type="dxa"/>
              <w:bottom w:w="90" w:type="dxa"/>
              <w:right w:w="90" w:type="dxa"/>
            </w:tcMar>
            <w:shd w:fill="F5F7FA" w:color="auto" w:val="clear"/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/>
                <w:color w:val="27303A"/>
                <w:sz w:val="21"/>
              </w:rPr>
              <w:t>Основной язык работы</w:t>
            </w:r>
          </w:p>
        </w:tc>
        <w:tc>
          <w:tcPr>
            <w:tcW w:type="dxa" w:w="6633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</w:rPr>
              <w:t>Армянский, русский, при необходимости английский</w:t>
            </w:r>
          </w:p>
        </w:tc>
      </w:tr>
    </w:tbl>
    <w:p/>
    <w:p>
      <w:pPr>
        <w:pStyle w:val="Heading1Custom"/>
      </w:pPr>
      <w:r>
        <w:rPr>
          <w:rFonts w:ascii="Arial" w:hAnsi="Arial" w:eastAsia="Arial" w:cs="Arial"/>
        </w:rPr>
        <w:t>4. Проект устава (структурированная редакция)</w:t>
      </w:r>
    </w:p>
    <w:p>
      <w:pPr>
        <w:pStyle w:val="Heading2Custom"/>
      </w:pPr>
      <w:r>
        <w:rPr>
          <w:rFonts w:ascii="Arial" w:hAnsi="Arial" w:eastAsia="Arial" w:cs="Arial"/>
        </w:rPr>
        <w:t>Раздел I. Общие положения</w:t>
      </w:r>
    </w:p>
    <w:p>
      <w:pPr/>
      <w:r>
        <w:rPr>
          <w:rFonts w:ascii="Arial" w:hAnsi="Arial" w:eastAsia="Arial" w:cs="Arial"/>
          <w:b/>
        </w:rPr>
        <w:t>1. Наименование.</w:t>
      </w:r>
      <w:r>
        <w:rPr>
          <w:rFonts w:ascii="Arial" w:hAnsi="Arial" w:eastAsia="Arial" w:cs="Arial"/>
        </w:rPr>
        <w:t xml:space="preserve"> Некоммерческая организация «Союз релокантов и правовой интеграции в Армении» (рабочее название; может быть изменено при регистрации).</w:t>
      </w:r>
    </w:p>
    <w:p>
      <w:pPr/>
      <w:r>
        <w:rPr>
          <w:rFonts w:ascii="Arial" w:hAnsi="Arial" w:eastAsia="Arial" w:cs="Arial"/>
          <w:b/>
        </w:rPr>
        <w:t>2. Организационно-правовая форма.</w:t>
      </w:r>
      <w:r>
        <w:rPr>
          <w:rFonts w:ascii="Arial" w:hAnsi="Arial" w:eastAsia="Arial" w:cs="Arial"/>
        </w:rPr>
        <w:t xml:space="preserve"> Некоммерческая организация в форме, допускаемой законодательством Республики Армения для общественно полезной и представительской деятельности.</w:t>
      </w:r>
    </w:p>
    <w:p>
      <w:pPr/>
      <w:r>
        <w:rPr>
          <w:rFonts w:ascii="Arial" w:hAnsi="Arial" w:eastAsia="Arial" w:cs="Arial"/>
          <w:b/>
        </w:rPr>
        <w:t>3. Местонахождение.</w:t>
      </w:r>
      <w:r>
        <w:rPr>
          <w:rFonts w:ascii="Arial" w:hAnsi="Arial" w:eastAsia="Arial" w:cs="Arial"/>
        </w:rPr>
        <w:t xml:space="preserve"> Республика Армения, город Ереван, если иное не будет определено учредительными документами.</w:t>
      </w:r>
    </w:p>
    <w:p>
      <w:pPr/>
      <w:r>
        <w:rPr>
          <w:rFonts w:ascii="Arial" w:hAnsi="Arial" w:eastAsia="Arial" w:cs="Arial"/>
          <w:b/>
        </w:rPr>
        <w:t>4. Цели деятельности.</w:t>
      </w:r>
      <w:r>
        <w:rPr>
          <w:rFonts w:ascii="Arial" w:hAnsi="Arial" w:eastAsia="Arial" w:cs="Arial"/>
        </w:rPr>
        <w:t xml:space="preserve"> Защита прав и законных интересов релокантов; содействие их правовой и социальной интеграции; подготовка и продвижение инициатив по временным и постоянным защищённым статусам; проведение исследований, просвещения и диалога с органами власти.</w:t>
      </w:r>
    </w:p>
    <w:p>
      <w:pPr>
        <w:pStyle w:val="Heading2Custom"/>
      </w:pPr>
      <w:r>
        <w:rPr>
          <w:rFonts w:ascii="Arial" w:hAnsi="Arial" w:eastAsia="Arial" w:cs="Arial"/>
        </w:rPr>
        <w:t>Раздел II. Предмет деятельности</w:t>
      </w:r>
    </w:p>
    <w:p>
      <w:pPr>
        <w:spacing w:after="60"/>
        <w:ind w:left="340" w:hanging="198"/>
      </w:pPr>
      <w:r>
        <w:rPr>
          <w:rFonts w:ascii="Arial" w:hAnsi="Arial" w:eastAsia="Arial" w:cs="Arial"/>
          <w:b/>
        </w:rPr>
        <w:t xml:space="preserve">• </w:t>
      </w:r>
      <w:r>
        <w:rPr>
          <w:rFonts w:ascii="Arial" w:hAnsi="Arial" w:eastAsia="Arial" w:cs="Arial"/>
        </w:rPr>
        <w:t>подготовка аналитических, правовых и законодательных материалов;</w:t>
      </w:r>
    </w:p>
    <w:p>
      <w:pPr>
        <w:spacing w:after="60"/>
        <w:ind w:left="340" w:hanging="198"/>
      </w:pPr>
      <w:r>
        <w:rPr>
          <w:rFonts w:ascii="Arial" w:hAnsi="Arial" w:eastAsia="Arial" w:cs="Arial"/>
          <w:b/>
        </w:rPr>
        <w:t xml:space="preserve">• </w:t>
      </w:r>
      <w:r>
        <w:rPr>
          <w:rFonts w:ascii="Arial" w:hAnsi="Arial" w:eastAsia="Arial" w:cs="Arial"/>
        </w:rPr>
        <w:t>проведение публичных мероприятий, консультаций, форумов и образовательных программ;</w:t>
      </w:r>
    </w:p>
    <w:p>
      <w:pPr>
        <w:spacing w:after="60"/>
        <w:ind w:left="340" w:hanging="198"/>
      </w:pPr>
      <w:r>
        <w:rPr>
          <w:rFonts w:ascii="Arial" w:hAnsi="Arial" w:eastAsia="Arial" w:cs="Arial"/>
          <w:b/>
        </w:rPr>
        <w:t xml:space="preserve">• </w:t>
      </w:r>
      <w:r>
        <w:rPr>
          <w:rFonts w:ascii="Arial" w:hAnsi="Arial" w:eastAsia="Arial" w:cs="Arial"/>
        </w:rPr>
        <w:t>оказание информационной и организационной помощи заявителям;</w:t>
      </w:r>
    </w:p>
    <w:p>
      <w:pPr>
        <w:spacing w:after="60"/>
        <w:ind w:left="340" w:hanging="198"/>
      </w:pPr>
      <w:r>
        <w:rPr>
          <w:rFonts w:ascii="Arial" w:hAnsi="Arial" w:eastAsia="Arial" w:cs="Arial"/>
          <w:b/>
        </w:rPr>
        <w:t xml:space="preserve">• </w:t>
      </w:r>
      <w:r>
        <w:rPr>
          <w:rFonts w:ascii="Arial" w:hAnsi="Arial" w:eastAsia="Arial" w:cs="Arial"/>
        </w:rPr>
        <w:t>взаимодействие с адвокатами, экспертами, исследователями, международными организациями и журналистами;</w:t>
      </w:r>
    </w:p>
    <w:p>
      <w:pPr>
        <w:spacing w:after="60"/>
        <w:ind w:left="340" w:hanging="198"/>
      </w:pPr>
      <w:r>
        <w:rPr>
          <w:rFonts w:ascii="Arial" w:hAnsi="Arial" w:eastAsia="Arial" w:cs="Arial"/>
          <w:b/>
        </w:rPr>
        <w:t xml:space="preserve">• </w:t>
      </w:r>
      <w:r>
        <w:rPr>
          <w:rFonts w:ascii="Arial" w:hAnsi="Arial" w:eastAsia="Arial" w:cs="Arial"/>
        </w:rPr>
        <w:t>ведение кампаний общественного информирования и защиты прав;</w:t>
      </w:r>
    </w:p>
    <w:p>
      <w:pPr>
        <w:spacing w:after="60"/>
        <w:ind w:left="340" w:hanging="198"/>
      </w:pPr>
      <w:r>
        <w:rPr>
          <w:rFonts w:ascii="Arial" w:hAnsi="Arial" w:eastAsia="Arial" w:cs="Arial"/>
          <w:b/>
        </w:rPr>
        <w:t xml:space="preserve">• </w:t>
      </w:r>
      <w:r>
        <w:rPr>
          <w:rFonts w:ascii="Arial" w:hAnsi="Arial" w:eastAsia="Arial" w:cs="Arial"/>
        </w:rPr>
        <w:t>привлечение грантов, пожертвований и иных законных ресурсов для достижения уставных целей.</w:t>
      </w:r>
    </w:p>
    <w:p>
      <w:pPr>
        <w:pStyle w:val="Heading2Custom"/>
      </w:pPr>
      <w:r>
        <w:rPr>
          <w:rFonts w:ascii="Arial" w:hAnsi="Arial" w:eastAsia="Arial" w:cs="Arial"/>
        </w:rPr>
        <w:t>Раздел III. Членство</w:t>
      </w:r>
    </w:p>
    <w:p>
      <w:pPr/>
      <w:r>
        <w:rPr>
          <w:rFonts w:ascii="Arial" w:hAnsi="Arial" w:eastAsia="Arial" w:cs="Arial"/>
          <w:b/>
        </w:rPr>
        <w:t>1. Членами организации</w:t>
      </w:r>
      <w:r>
        <w:rPr>
          <w:rFonts w:ascii="Arial" w:hAnsi="Arial" w:eastAsia="Arial" w:cs="Arial"/>
        </w:rPr>
        <w:t xml:space="preserve"> могут быть физические лица, разделяющие цели организации и соблюдающие устав. Организация может предусмотреть категории: полные члены, ассоциированные участники, эксперты и волонтёры.</w:t>
      </w:r>
    </w:p>
    <w:p>
      <w:pPr/>
      <w:r>
        <w:rPr>
          <w:rFonts w:ascii="Arial" w:hAnsi="Arial" w:eastAsia="Arial" w:cs="Arial"/>
          <w:b/>
        </w:rPr>
        <w:t>2. Права членов.</w:t>
      </w:r>
      <w:r>
        <w:rPr>
          <w:rFonts w:ascii="Arial" w:hAnsi="Arial" w:eastAsia="Arial" w:cs="Arial"/>
        </w:rPr>
        <w:t xml:space="preserve"> Участвовать в общем собрании, вносить предложения, избирать и быть избранными в органы управления, получать информацию о деятельности организации, участвовать в программах и проектах.</w:t>
      </w:r>
    </w:p>
    <w:p>
      <w:pPr/>
      <w:r>
        <w:rPr>
          <w:rFonts w:ascii="Arial" w:hAnsi="Arial" w:eastAsia="Arial" w:cs="Arial"/>
          <w:b/>
        </w:rPr>
        <w:t>3. Обязанности членов.</w:t>
      </w:r>
      <w:r>
        <w:rPr>
          <w:rFonts w:ascii="Arial" w:hAnsi="Arial" w:eastAsia="Arial" w:cs="Arial"/>
        </w:rPr>
        <w:t xml:space="preserve"> Соблюдать устав, не причинять вред репутации организации, добросовестно исполнять принятые обязательства, соблюдать политику конфликта интересов и защиты данных.</w:t>
      </w:r>
    </w:p>
    <w:p>
      <w:pPr>
        <w:pStyle w:val="Heading2Custom"/>
      </w:pPr>
      <w:r>
        <w:rPr>
          <w:rFonts w:ascii="Arial" w:hAnsi="Arial" w:eastAsia="Arial" w:cs="Arial"/>
        </w:rPr>
        <w:t>Раздел IV. Органы управления</w:t>
      </w:r>
    </w:p>
    <w:p>
      <w:pPr/>
      <w:r>
        <w:rPr>
          <w:rFonts w:ascii="Arial" w:hAnsi="Arial" w:eastAsia="Arial" w:cs="Arial"/>
          <w:b/>
        </w:rPr>
        <w:t>1. Общее собрание.</w:t>
      </w:r>
      <w:r>
        <w:rPr>
          <w:rFonts w:ascii="Arial" w:hAnsi="Arial" w:eastAsia="Arial" w:cs="Arial"/>
        </w:rPr>
        <w:t xml:space="preserve"> Высший орган, утверждающий стратегию, бюджет, отчёты, изменения устава и избирающий правление.</w:t>
      </w:r>
    </w:p>
    <w:p>
      <w:pPr/>
      <w:r>
        <w:rPr>
          <w:rFonts w:ascii="Arial" w:hAnsi="Arial" w:eastAsia="Arial" w:cs="Arial"/>
          <w:b/>
        </w:rPr>
        <w:t>2. Правление.</w:t>
      </w:r>
      <w:r>
        <w:rPr>
          <w:rFonts w:ascii="Arial" w:hAnsi="Arial" w:eastAsia="Arial" w:cs="Arial"/>
        </w:rPr>
        <w:t xml:space="preserve"> Коллегиальный руководящий орган, определяющий оперативную политику организации и контролирующий исполнение решений общего собрания.</w:t>
      </w:r>
    </w:p>
    <w:p>
      <w:pPr/>
      <w:r>
        <w:rPr>
          <w:rFonts w:ascii="Arial" w:hAnsi="Arial" w:eastAsia="Arial" w:cs="Arial"/>
          <w:b/>
        </w:rPr>
        <w:t>3. Исполнительный директор.</w:t>
      </w:r>
      <w:r>
        <w:rPr>
          <w:rFonts w:ascii="Arial" w:hAnsi="Arial" w:eastAsia="Arial" w:cs="Arial"/>
        </w:rPr>
        <w:t xml:space="preserve"> Единоличный исполнительный орган, представляющий организацию во внешних отношениях и отвечающий за текущую деятельность.</w:t>
      </w:r>
    </w:p>
    <w:p>
      <w:pPr/>
      <w:r>
        <w:rPr>
          <w:rFonts w:ascii="Arial" w:hAnsi="Arial" w:eastAsia="Arial" w:cs="Arial"/>
          <w:b/>
        </w:rPr>
        <w:t>4. Наблюдательный совет / экспертный совет.</w:t>
      </w:r>
      <w:r>
        <w:rPr>
          <w:rFonts w:ascii="Arial" w:hAnsi="Arial" w:eastAsia="Arial" w:cs="Arial"/>
        </w:rPr>
        <w:t xml:space="preserve"> Консультативный или контрольный орган для обеспечения прозрачности, качества аналитики и стратегической устойчивости.</w:t>
      </w:r>
    </w:p>
    <w:p>
      <w:pPr>
        <w:pStyle w:val="Heading2Custom"/>
      </w:pPr>
      <w:r>
        <w:rPr>
          <w:rFonts w:ascii="Arial" w:hAnsi="Arial" w:eastAsia="Arial" w:cs="Arial"/>
        </w:rPr>
        <w:t>Раздел V. Имущество и финансы</w:t>
      </w:r>
    </w:p>
    <w:p>
      <w:pPr/>
      <w:r>
        <w:rPr>
          <w:rFonts w:ascii="Arial" w:hAnsi="Arial" w:eastAsia="Arial" w:cs="Arial"/>
        </w:rPr>
        <w:t>Имущество организации формируется из взносов, пожертвований, грантов, целевого финансирования и иных законных поступлений. Все средства используются исключительно для достижения уставных целей. Распределение прибыли между участниками не допускается.</w:t>
      </w:r>
    </w:p>
    <w:p>
      <w:pPr>
        <w:pStyle w:val="Heading2Custom"/>
      </w:pPr>
      <w:r>
        <w:rPr>
          <w:rFonts w:ascii="Arial" w:hAnsi="Arial" w:eastAsia="Arial" w:cs="Arial"/>
        </w:rPr>
        <w:t>Раздел VI. Прозрачность, этика и конфликт интересов</w:t>
      </w:r>
    </w:p>
    <w:p>
      <w:pPr>
        <w:spacing w:after="60"/>
        <w:ind w:left="340" w:hanging="198"/>
      </w:pPr>
      <w:r>
        <w:rPr>
          <w:rFonts w:ascii="Arial" w:hAnsi="Arial" w:eastAsia="Arial" w:cs="Arial"/>
          <w:b/>
        </w:rPr>
        <w:t xml:space="preserve">• </w:t>
      </w:r>
      <w:r>
        <w:rPr>
          <w:rFonts w:ascii="Arial" w:hAnsi="Arial" w:eastAsia="Arial" w:cs="Arial"/>
        </w:rPr>
        <w:t>ежегодный публичный отчёт о деятельности и финансах;</w:t>
      </w:r>
    </w:p>
    <w:p>
      <w:pPr>
        <w:spacing w:after="60"/>
        <w:ind w:left="340" w:hanging="198"/>
      </w:pPr>
      <w:r>
        <w:rPr>
          <w:rFonts w:ascii="Arial" w:hAnsi="Arial" w:eastAsia="Arial" w:cs="Arial"/>
          <w:b/>
        </w:rPr>
        <w:t xml:space="preserve">• </w:t>
      </w:r>
      <w:r>
        <w:rPr>
          <w:rFonts w:ascii="Arial" w:hAnsi="Arial" w:eastAsia="Arial" w:cs="Arial"/>
        </w:rPr>
        <w:t>обязательное декларирование конфликта интересов для членов правления и руководства;</w:t>
      </w:r>
    </w:p>
    <w:p>
      <w:pPr>
        <w:spacing w:after="60"/>
        <w:ind w:left="340" w:hanging="198"/>
      </w:pPr>
      <w:r>
        <w:rPr>
          <w:rFonts w:ascii="Arial" w:hAnsi="Arial" w:eastAsia="Arial" w:cs="Arial"/>
          <w:b/>
        </w:rPr>
        <w:t xml:space="preserve">• </w:t>
      </w:r>
      <w:r>
        <w:rPr>
          <w:rFonts w:ascii="Arial" w:hAnsi="Arial" w:eastAsia="Arial" w:cs="Arial"/>
        </w:rPr>
        <w:t>политика защиты персональных данных заявителей и бенефициаров;</w:t>
      </w:r>
    </w:p>
    <w:p>
      <w:pPr>
        <w:spacing w:after="60"/>
        <w:ind w:left="340" w:hanging="198"/>
      </w:pPr>
      <w:r>
        <w:rPr>
          <w:rFonts w:ascii="Arial" w:hAnsi="Arial" w:eastAsia="Arial" w:cs="Arial"/>
          <w:b/>
        </w:rPr>
        <w:t xml:space="preserve">• </w:t>
      </w:r>
      <w:r>
        <w:rPr>
          <w:rFonts w:ascii="Arial" w:hAnsi="Arial" w:eastAsia="Arial" w:cs="Arial"/>
        </w:rPr>
        <w:t>политика недискриминации, уважения и безопасной коммуникации;</w:t>
      </w:r>
    </w:p>
    <w:p>
      <w:pPr>
        <w:spacing w:after="60"/>
        <w:ind w:left="340" w:hanging="198"/>
      </w:pPr>
      <w:r>
        <w:rPr>
          <w:rFonts w:ascii="Arial" w:hAnsi="Arial" w:eastAsia="Arial" w:cs="Arial"/>
          <w:b/>
        </w:rPr>
        <w:t xml:space="preserve">• </w:t>
      </w:r>
      <w:r>
        <w:rPr>
          <w:rFonts w:ascii="Arial" w:hAnsi="Arial" w:eastAsia="Arial" w:cs="Arial"/>
        </w:rPr>
        <w:t>запрет использовать организацию для обхода требований законодательства или для сокрытия противоправной деятельности.</w:t>
      </w:r>
    </w:p>
    <w:p>
      <w:pPr>
        <w:pStyle w:val="Heading2Custom"/>
      </w:pPr>
      <w:r>
        <w:rPr>
          <w:rFonts w:ascii="Arial" w:hAnsi="Arial" w:eastAsia="Arial" w:cs="Arial"/>
        </w:rPr>
        <w:t>Раздел VII. Реорганизация и ликвидация</w:t>
      </w:r>
    </w:p>
    <w:p>
      <w:pPr/>
      <w:r>
        <w:rPr>
          <w:rFonts w:ascii="Arial" w:hAnsi="Arial" w:eastAsia="Arial" w:cs="Arial"/>
        </w:rPr>
        <w:t>Реорганизация и ликвидация осуществляются в порядке, предусмотренном законодательством Республики Армения и уставом, с передачей оставшегося имущества на общественно полезные цели.</w:t>
      </w:r>
    </w:p>
    <w:p>
      <w:pPr>
        <w:pStyle w:val="Heading1Custom"/>
      </w:pPr>
      <w:r>
        <w:rPr>
          <w:rFonts w:ascii="Arial" w:hAnsi="Arial" w:eastAsia="Arial" w:cs="Arial"/>
        </w:rPr>
        <w:t>5. Рекомендуемая структура органов управления</w:t>
      </w:r>
    </w:p>
    <w:tbl>
      <w:tblPr>
        <w:tblStyle w:val="TableGrid"/>
        <w:tblW w:type="auto" w:w="0"/>
        <w:tblLayout w:type="fixed"/>
        <w:tblLook w:firstColumn="1" w:firstRow="1" w:lastColumn="0" w:lastRow="0" w:noHBand="0" w:noVBand="1" w:val="04A0"/>
        <w:tblCellMar>
          <w:top w:w="85" w:type="dxa"/>
          <w:start w:w="100" w:type="dxa"/>
          <w:bottom w:w="85" w:type="dxa"/>
          <w:end w:w="100" w:type="dxa"/>
        </w:tblCellMar>
        <w:jc w:val="center"/>
        <w:tblBorders>
          <w:top w:val="single" w:sz="5" w:space="0" w:color="C9CED6"/>
          <w:left w:val="single" w:sz="5" w:space="0" w:color="C9CED6"/>
          <w:bottom w:val="single" w:sz="5" w:space="0" w:color="C9CED6"/>
          <w:right w:val="single" w:sz="5" w:space="0" w:color="C9CED6"/>
          <w:insideH w:val="single" w:sz="5" w:space="0" w:color="C9CED6"/>
          <w:insideV w:val="single" w:sz="5" w:space="0" w:color="C9CED6"/>
        </w:tblBorders>
      </w:tblPr>
      <w:tblGrid>
        <w:gridCol w:w="3175"/>
        <w:gridCol w:w="3175"/>
        <w:gridCol w:w="3175"/>
      </w:tblGrid>
      <w:tr>
        <w:tc>
          <w:tcPr>
            <w:tcW w:type="dxa" w:w="2381"/>
            <w:shd w:fill="E9E3DC" w:color="auto" w:val="clear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0" w:before="0" w:line="269" w:lineRule="auto"/>
              <w:jc w:val="center"/>
            </w:pPr>
            <w:r>
              <w:rPr>
                <w:rFonts w:ascii="Arial" w:hAnsi="Arial" w:eastAsia="Arial" w:cs="Arial"/>
                <w:b/>
                <w:color w:val="1F2430"/>
                <w:sz w:val="22"/>
              </w:rPr>
              <w:t>Орган</w:t>
            </w:r>
          </w:p>
        </w:tc>
        <w:tc>
          <w:tcPr>
            <w:tcW w:type="dxa" w:w="4252"/>
            <w:shd w:fill="E9E3DC" w:color="auto" w:val="clear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0" w:before="0" w:line="269" w:lineRule="auto"/>
              <w:jc w:val="center"/>
            </w:pPr>
            <w:r>
              <w:rPr>
                <w:rFonts w:ascii="Arial" w:hAnsi="Arial" w:eastAsia="Arial" w:cs="Arial"/>
                <w:b/>
                <w:color w:val="1F2430"/>
                <w:sz w:val="22"/>
              </w:rPr>
              <w:t>Функции</w:t>
            </w:r>
          </w:p>
        </w:tc>
        <w:tc>
          <w:tcPr>
            <w:tcW w:type="dxa" w:w="2551"/>
            <w:shd w:fill="E9E3DC" w:color="auto" w:val="clear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0" w:before="0" w:line="269" w:lineRule="auto"/>
              <w:jc w:val="center"/>
            </w:pPr>
            <w:r>
              <w:rPr>
                <w:rFonts w:ascii="Arial" w:hAnsi="Arial" w:eastAsia="Arial" w:cs="Arial"/>
                <w:b/>
                <w:color w:val="1F2430"/>
                <w:sz w:val="22"/>
              </w:rPr>
              <w:t>Рекомендуемый состав</w:t>
            </w:r>
          </w:p>
        </w:tc>
      </w:tr>
      <w:tr>
        <w:tc>
          <w:tcPr>
            <w:tcW w:type="dxa" w:w="2381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50" w:before="0" w:line="269" w:lineRule="auto"/>
              <w:jc w:val="center"/>
            </w:pPr>
            <w:r>
              <w:rPr>
                <w:rFonts w:ascii="Arial" w:hAnsi="Arial" w:eastAsia="Arial" w:cs="Arial"/>
                <w:color w:val="222B36"/>
                <w:sz w:val="21"/>
              </w:rPr>
              <w:t>Общее собрание</w:t>
            </w:r>
          </w:p>
        </w:tc>
        <w:tc>
          <w:tcPr>
            <w:tcW w:type="dxa" w:w="4252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color w:val="222B36"/>
                <w:sz w:val="21"/>
              </w:rPr>
              <w:t>Стратегия, бюджет, выборы, отчёты, изменение устава</w:t>
            </w:r>
          </w:p>
        </w:tc>
        <w:tc>
          <w:tcPr>
            <w:tcW w:type="dxa" w:w="2551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color w:val="222B36"/>
                <w:sz w:val="21"/>
              </w:rPr>
              <w:t>Все члены организации</w:t>
            </w:r>
          </w:p>
        </w:tc>
      </w:tr>
      <w:tr>
        <w:tc>
          <w:tcPr>
            <w:tcW w:type="dxa" w:w="2381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50" w:before="0" w:line="269" w:lineRule="auto"/>
              <w:jc w:val="center"/>
            </w:pPr>
            <w:r>
              <w:rPr>
                <w:rFonts w:ascii="Arial" w:hAnsi="Arial" w:eastAsia="Arial" w:cs="Arial"/>
                <w:color w:val="222B36"/>
                <w:sz w:val="21"/>
              </w:rPr>
              <w:t>Правление</w:t>
            </w:r>
          </w:p>
        </w:tc>
        <w:tc>
          <w:tcPr>
            <w:tcW w:type="dxa" w:w="4252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color w:val="222B36"/>
                <w:sz w:val="21"/>
              </w:rPr>
              <w:t>Текущая политика, контроль программ, принятие ключевых решений</w:t>
            </w:r>
          </w:p>
        </w:tc>
        <w:tc>
          <w:tcPr>
            <w:tcW w:type="dxa" w:w="2551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50" w:before="0" w:line="269" w:lineRule="auto"/>
              <w:jc w:val="left"/>
            </w:pPr>
            <w:r>
              <w:rPr>
                <w:rFonts w:ascii="Arial" w:hAnsi="Arial" w:eastAsia="Arial" w:cs="Arial"/>
                <w:color w:val="222B36"/>
                <w:sz w:val="21"/>
              </w:rPr>
              <w:t>5–7 человек</w:t>
            </w:r>
          </w:p>
        </w:tc>
      </w:tr>
      <w:tr>
        <w:tc>
          <w:tcPr>
            <w:tcW w:type="dxa" w:w="2381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color w:val="222B36"/>
                <w:sz w:val="21"/>
              </w:rPr>
              <w:t>Исполнительный директор</w:t>
            </w:r>
          </w:p>
        </w:tc>
        <w:tc>
          <w:tcPr>
            <w:tcW w:type="dxa" w:w="4252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color w:val="222B36"/>
                <w:sz w:val="21"/>
              </w:rPr>
              <w:t>Операционное управление, внешнее представительство, персонал</w:t>
            </w:r>
          </w:p>
        </w:tc>
        <w:tc>
          <w:tcPr>
            <w:tcW w:type="dxa" w:w="2551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50" w:before="0" w:line="269" w:lineRule="auto"/>
              <w:jc w:val="left"/>
            </w:pPr>
            <w:r>
              <w:rPr>
                <w:rFonts w:ascii="Arial" w:hAnsi="Arial" w:eastAsia="Arial" w:cs="Arial"/>
                <w:color w:val="222B36"/>
                <w:sz w:val="21"/>
              </w:rPr>
              <w:t>1 человек</w:t>
            </w:r>
          </w:p>
        </w:tc>
      </w:tr>
      <w:tr>
        <w:tc>
          <w:tcPr>
            <w:tcW w:type="dxa" w:w="2381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color w:val="222B36"/>
                <w:sz w:val="21"/>
              </w:rPr>
              <w:t>Наблюдательный / экспертный совет</w:t>
            </w:r>
          </w:p>
        </w:tc>
        <w:tc>
          <w:tcPr>
            <w:tcW w:type="dxa" w:w="4252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color w:val="222B36"/>
                <w:sz w:val="21"/>
              </w:rPr>
              <w:t>Качество решений, экспертиза, репутационный контроль</w:t>
            </w:r>
          </w:p>
        </w:tc>
        <w:tc>
          <w:tcPr>
            <w:tcW w:type="dxa" w:w="2551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color w:val="222B36"/>
                <w:sz w:val="21"/>
              </w:rPr>
              <w:t>3–5 внешних и внутренних экспертов</w:t>
            </w:r>
          </w:p>
        </w:tc>
      </w:tr>
    </w:tbl>
    <w:p/>
    <w:p>
      <w:pPr>
        <w:pStyle w:val="Heading1Custom"/>
      </w:pPr>
      <w:r>
        <w:rPr>
          <w:rFonts w:ascii="Arial" w:hAnsi="Arial" w:eastAsia="Arial" w:cs="Arial"/>
        </w:rPr>
        <w:t>6. Программа действий на первые 12 месяцев</w:t>
      </w:r>
    </w:p>
    <w:p>
      <w:pPr>
        <w:spacing w:after="60"/>
        <w:ind w:left="397" w:hanging="283"/>
      </w:pPr>
      <w:r>
        <w:rPr>
          <w:rFonts w:ascii="Arial" w:hAnsi="Arial" w:eastAsia="Arial" w:cs="Arial"/>
          <w:b/>
        </w:rPr>
        <w:t xml:space="preserve">1. </w:t>
      </w:r>
      <w:r>
        <w:rPr>
          <w:rFonts w:ascii="Arial" w:hAnsi="Arial" w:eastAsia="Arial" w:cs="Arial"/>
        </w:rPr>
        <w:t>Формальная регистрация организации и запуск базовой инфраструктуры: сайт, почта, архив, внутренняя политика защиты данных.</w:t>
      </w:r>
    </w:p>
    <w:p>
      <w:pPr>
        <w:spacing w:after="60"/>
        <w:ind w:left="397" w:hanging="283"/>
      </w:pPr>
      <w:r>
        <w:rPr>
          <w:rFonts w:ascii="Arial" w:hAnsi="Arial" w:eastAsia="Arial" w:cs="Arial"/>
          <w:b/>
        </w:rPr>
        <w:t xml:space="preserve">2. </w:t>
      </w:r>
      <w:r>
        <w:rPr>
          <w:rFonts w:ascii="Arial" w:hAnsi="Arial" w:eastAsia="Arial" w:cs="Arial"/>
        </w:rPr>
        <w:t>Подготовка армяноязычной версии законопроектов и пояснительных материалов.</w:t>
      </w:r>
    </w:p>
    <w:p>
      <w:pPr>
        <w:spacing w:after="60"/>
        <w:ind w:left="397" w:hanging="283"/>
      </w:pPr>
      <w:r>
        <w:rPr>
          <w:rFonts w:ascii="Arial" w:hAnsi="Arial" w:eastAsia="Arial" w:cs="Arial"/>
          <w:b/>
        </w:rPr>
        <w:t xml:space="preserve">3. </w:t>
      </w:r>
      <w:r>
        <w:rPr>
          <w:rFonts w:ascii="Arial" w:hAnsi="Arial" w:eastAsia="Arial" w:cs="Arial"/>
        </w:rPr>
        <w:t>Сбор кейсов релокантов, которым требуется защищённый правовой статус и безопасная документарная траектория.</w:t>
      </w:r>
    </w:p>
    <w:p>
      <w:pPr>
        <w:spacing w:after="60"/>
        <w:ind w:left="397" w:hanging="283"/>
      </w:pPr>
      <w:r>
        <w:rPr>
          <w:rFonts w:ascii="Arial" w:hAnsi="Arial" w:eastAsia="Arial" w:cs="Arial"/>
          <w:b/>
        </w:rPr>
        <w:t xml:space="preserve">4. </w:t>
      </w:r>
      <w:r>
        <w:rPr>
          <w:rFonts w:ascii="Arial" w:hAnsi="Arial" w:eastAsia="Arial" w:cs="Arial"/>
        </w:rPr>
        <w:t>Создание пула юристов, исследователей, волонтёров и публичных спикеров.</w:t>
      </w:r>
    </w:p>
    <w:p>
      <w:pPr>
        <w:spacing w:after="60"/>
        <w:ind w:left="397" w:hanging="283"/>
      </w:pPr>
      <w:r>
        <w:rPr>
          <w:rFonts w:ascii="Arial" w:hAnsi="Arial" w:eastAsia="Arial" w:cs="Arial"/>
          <w:b/>
        </w:rPr>
        <w:t xml:space="preserve">5. </w:t>
      </w:r>
      <w:r>
        <w:rPr>
          <w:rFonts w:ascii="Arial" w:hAnsi="Arial" w:eastAsia="Arial" w:cs="Arial"/>
        </w:rPr>
        <w:t>Официальная рассылка пакетов в Правительство, Национальное Собрание, офис Президента, профильные комиссии и институт Омбудсмена.</w:t>
      </w:r>
    </w:p>
    <w:p>
      <w:pPr>
        <w:spacing w:after="60"/>
        <w:ind w:left="397" w:hanging="283"/>
      </w:pPr>
      <w:r>
        <w:rPr>
          <w:rFonts w:ascii="Arial" w:hAnsi="Arial" w:eastAsia="Arial" w:cs="Arial"/>
          <w:b/>
        </w:rPr>
        <w:t xml:space="preserve">6. </w:t>
      </w:r>
      <w:r>
        <w:rPr>
          <w:rFonts w:ascii="Arial" w:hAnsi="Arial" w:eastAsia="Arial" w:cs="Arial"/>
        </w:rPr>
        <w:t>Проведение общественных обсуждений, экспертных столов и информационной кампании.</w:t>
      </w:r>
    </w:p>
    <w:p>
      <w:pPr>
        <w:spacing w:after="60"/>
        <w:ind w:left="397" w:hanging="283"/>
      </w:pPr>
      <w:r>
        <w:rPr>
          <w:rFonts w:ascii="Arial" w:hAnsi="Arial" w:eastAsia="Arial" w:cs="Arial"/>
          <w:b/>
        </w:rPr>
        <w:t xml:space="preserve">7. </w:t>
      </w:r>
      <w:r>
        <w:rPr>
          <w:rFonts w:ascii="Arial" w:hAnsi="Arial" w:eastAsia="Arial" w:cs="Arial"/>
        </w:rPr>
        <w:t>Мониторинг реакции государства и доработка пакетов по результатам консультаций.</w:t>
      </w:r>
    </w:p>
    <w:p>
      <w:pPr>
        <w:pStyle w:val="Heading1Custom"/>
      </w:pPr>
      <w:r>
        <w:rPr>
          <w:rFonts w:ascii="Arial" w:hAnsi="Arial" w:eastAsia="Arial" w:cs="Arial"/>
        </w:rPr>
        <w:t>7. Регистрационный чек-лист</w:t>
      </w:r>
    </w:p>
    <w:tbl>
      <w:tblPr>
        <w:tblStyle w:val="TableGrid"/>
        <w:tblW w:type="auto" w:w="0"/>
        <w:tblLayout w:type="fixed"/>
        <w:tblLook w:firstColumn="1" w:firstRow="1" w:lastColumn="0" w:lastRow="0" w:noHBand="0" w:noVBand="1" w:val="04A0"/>
        <w:tblCellMar>
          <w:top w:w="85" w:type="dxa"/>
          <w:start w:w="100" w:type="dxa"/>
          <w:bottom w:w="85" w:type="dxa"/>
          <w:end w:w="100" w:type="dxa"/>
        </w:tblCellMar>
        <w:jc w:val="center"/>
        <w:tblBorders>
          <w:top w:val="single" w:sz="5" w:space="0" w:color="C9CED6"/>
          <w:left w:val="single" w:sz="5" w:space="0" w:color="C9CED6"/>
          <w:bottom w:val="single" w:sz="5" w:space="0" w:color="C9CED6"/>
          <w:right w:val="single" w:sz="5" w:space="0" w:color="C9CED6"/>
          <w:insideH w:val="single" w:sz="5" w:space="0" w:color="C9CED6"/>
          <w:insideV w:val="single" w:sz="5" w:space="0" w:color="C9CED6"/>
        </w:tblBorders>
      </w:tblPr>
      <w:tblGrid>
        <w:gridCol w:w="4762"/>
        <w:gridCol w:w="4762"/>
      </w:tblGrid>
      <w:tr>
        <w:tc>
          <w:tcPr>
            <w:tcW w:type="dxa" w:w="3402"/>
            <w:shd w:fill="F5F7FA" w:color="auto" w:val="clear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50" w:before="0" w:line="269" w:lineRule="auto"/>
              <w:jc w:val="center"/>
            </w:pPr>
            <w:r>
              <w:rPr>
                <w:rFonts w:ascii="Arial" w:hAnsi="Arial" w:eastAsia="Arial" w:cs="Arial"/>
                <w:b/>
                <w:color w:val="27303A"/>
                <w:sz w:val="21"/>
              </w:rPr>
              <w:t>Документ / шаг</w:t>
            </w:r>
          </w:p>
        </w:tc>
        <w:tc>
          <w:tcPr>
            <w:tcW w:type="dxa" w:w="5556"/>
            <w:shd w:fill="ECECEC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50" w:before="0" w:line="269" w:lineRule="auto"/>
              <w:jc w:val="center"/>
            </w:pPr>
            <w:r>
              <w:rPr>
                <w:rFonts w:ascii="Arial" w:hAnsi="Arial" w:eastAsia="Arial" w:cs="Arial"/>
                <w:b/>
              </w:rPr>
              <w:t>Назначение</w:t>
            </w:r>
          </w:p>
        </w:tc>
      </w:tr>
      <w:tr>
        <w:tc>
          <w:tcPr>
            <w:tcW w:type="dxa" w:w="3402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  <w:tcMar>
              <w:top w:w="90" w:type="dxa"/>
              <w:left w:w="90" w:type="dxa"/>
              <w:bottom w:w="90" w:type="dxa"/>
              <w:right w:w="90" w:type="dxa"/>
            </w:tcMar>
            <w:shd w:fill="F5F7FA" w:color="auto" w:val="clear"/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/>
                <w:color w:val="27303A"/>
                <w:sz w:val="21"/>
              </w:rPr>
              <w:t>Учредительное решение</w:t>
            </w:r>
          </w:p>
        </w:tc>
        <w:tc>
          <w:tcPr>
            <w:tcW w:type="dxa" w:w="5556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</w:rPr>
              <w:t>Фиксирует волю учредителей создать НКО.</w:t>
            </w:r>
          </w:p>
        </w:tc>
      </w:tr>
      <w:tr>
        <w:tc>
          <w:tcPr>
            <w:tcW w:type="dxa" w:w="3402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  <w:tcMar>
              <w:top w:w="90" w:type="dxa"/>
              <w:left w:w="90" w:type="dxa"/>
              <w:bottom w:w="90" w:type="dxa"/>
              <w:right w:w="90" w:type="dxa"/>
            </w:tcMar>
            <w:shd w:fill="F5F7FA" w:color="auto" w:val="clear"/>
          </w:tcPr>
          <w:p>
            <w:pPr>
              <w:spacing w:after="50" w:before="0" w:line="269" w:lineRule="auto"/>
              <w:jc w:val="center"/>
            </w:pPr>
            <w:r>
              <w:rPr>
                <w:rFonts w:ascii="Arial" w:hAnsi="Arial" w:eastAsia="Arial" w:cs="Arial"/>
                <w:b/>
                <w:color w:val="27303A"/>
                <w:sz w:val="21"/>
              </w:rPr>
              <w:t>Устав</w:t>
            </w:r>
          </w:p>
        </w:tc>
        <w:tc>
          <w:tcPr>
            <w:tcW w:type="dxa" w:w="5556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</w:rPr>
              <w:t>Закрепляет цели, органы управления, правила членства и имущества.</w:t>
            </w:r>
          </w:p>
        </w:tc>
      </w:tr>
      <w:tr>
        <w:tc>
          <w:tcPr>
            <w:tcW w:type="dxa" w:w="3402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  <w:tcMar>
              <w:top w:w="90" w:type="dxa"/>
              <w:left w:w="90" w:type="dxa"/>
              <w:bottom w:w="90" w:type="dxa"/>
              <w:right w:w="90" w:type="dxa"/>
            </w:tcMar>
            <w:shd w:fill="F5F7FA" w:color="auto" w:val="clear"/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/>
                <w:color w:val="27303A"/>
                <w:sz w:val="21"/>
              </w:rPr>
              <w:t>Сведения об учредителях и руководителе</w:t>
            </w:r>
          </w:p>
        </w:tc>
        <w:tc>
          <w:tcPr>
            <w:tcW w:type="dxa" w:w="5556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</w:rPr>
              <w:t>Необходимы для регистрации и проверки.</w:t>
            </w:r>
          </w:p>
        </w:tc>
      </w:tr>
      <w:tr>
        <w:tc>
          <w:tcPr>
            <w:tcW w:type="dxa" w:w="3402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  <w:tcMar>
              <w:top w:w="90" w:type="dxa"/>
              <w:left w:w="90" w:type="dxa"/>
              <w:bottom w:w="90" w:type="dxa"/>
              <w:right w:w="90" w:type="dxa"/>
            </w:tcMar>
            <w:shd w:fill="F5F7FA" w:color="auto" w:val="clear"/>
          </w:tcPr>
          <w:p>
            <w:pPr>
              <w:spacing w:after="50" w:before="0" w:line="269" w:lineRule="auto"/>
              <w:jc w:val="center"/>
            </w:pPr>
            <w:r>
              <w:rPr>
                <w:rFonts w:ascii="Arial" w:hAnsi="Arial" w:eastAsia="Arial" w:cs="Arial"/>
                <w:b/>
                <w:color w:val="27303A"/>
                <w:sz w:val="21"/>
              </w:rPr>
              <w:t>Юридический адрес</w:t>
            </w:r>
          </w:p>
        </w:tc>
        <w:tc>
          <w:tcPr>
            <w:tcW w:type="dxa" w:w="5556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</w:rPr>
              <w:t>Определяет местонахождение организации.</w:t>
            </w:r>
          </w:p>
        </w:tc>
      </w:tr>
      <w:tr>
        <w:tc>
          <w:tcPr>
            <w:tcW w:type="dxa" w:w="3402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  <w:tcMar>
              <w:top w:w="90" w:type="dxa"/>
              <w:left w:w="90" w:type="dxa"/>
              <w:bottom w:w="90" w:type="dxa"/>
              <w:right w:w="90" w:type="dxa"/>
            </w:tcMar>
            <w:shd w:fill="F5F7FA" w:color="auto" w:val="clear"/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/>
                <w:color w:val="27303A"/>
                <w:sz w:val="21"/>
              </w:rPr>
              <w:t>Квитанция о государственной пошлине</w:t>
            </w:r>
          </w:p>
        </w:tc>
        <w:tc>
          <w:tcPr>
            <w:tcW w:type="dxa" w:w="5556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</w:rPr>
              <w:t>Подтверждает оплату регистрационной процедуры, если она предусмотрена.</w:t>
            </w:r>
          </w:p>
        </w:tc>
      </w:tr>
      <w:tr>
        <w:tc>
          <w:tcPr>
            <w:tcW w:type="dxa" w:w="3402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  <w:tcMar>
              <w:top w:w="90" w:type="dxa"/>
              <w:left w:w="90" w:type="dxa"/>
              <w:bottom w:w="90" w:type="dxa"/>
              <w:right w:w="90" w:type="dxa"/>
            </w:tcMar>
            <w:shd w:fill="F5F7FA" w:color="auto" w:val="clear"/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/>
                <w:color w:val="27303A"/>
                <w:sz w:val="21"/>
              </w:rPr>
              <w:t>Армяноязычная окончательная редакция</w:t>
            </w:r>
          </w:p>
        </w:tc>
        <w:tc>
          <w:tcPr>
            <w:tcW w:type="dxa" w:w="5556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</w:rPr>
              <w:t>Нужна для официальной подачи в регистрационный орган.</w:t>
            </w:r>
          </w:p>
        </w:tc>
      </w:tr>
    </w:tbl>
    <w:p/>
    <w:p>
      <w:pPr>
        <w:pStyle w:val="Heading1Custom"/>
      </w:pPr>
      <w:r>
        <w:rPr>
          <w:rFonts w:ascii="Arial" w:hAnsi="Arial" w:eastAsia="Arial" w:cs="Arial"/>
        </w:rPr>
        <w:t>8. Формула публичного позиционирования НКО</w:t>
      </w:r>
    </w:p>
    <w:p>
      <w:pPr/>
      <w:r>
        <w:rPr>
          <w:rFonts w:ascii="Arial" w:hAnsi="Arial" w:eastAsia="Arial" w:cs="Arial"/>
        </w:rPr>
        <w:t xml:space="preserve">НКО следует позиционировать как </w:t>
      </w:r>
      <w:r>
        <w:rPr>
          <w:rFonts w:ascii="Arial" w:hAnsi="Arial" w:eastAsia="Arial" w:cs="Arial"/>
          <w:b/>
        </w:rPr>
        <w:t>платформу правовой интеграции и безопасного статуса</w:t>
      </w:r>
      <w:r>
        <w:rPr>
          <w:rFonts w:ascii="Arial" w:hAnsi="Arial" w:eastAsia="Arial" w:cs="Arial"/>
        </w:rPr>
        <w:t>, а не как закрытое сообщество по национальному признаку. Это критически важно и для репутации, и для диалога с армянским государством: организация защищает права людей, поддерживает законность, помогает интеграции и предлагает государству системные, а не конфликтные решения.</w:t>
      </w:r>
    </w:p>
    <w:p>
      <w:pPr>
        <w:pStyle w:val="Heading1Custom"/>
      </w:pPr>
      <w:r>
        <w:rPr>
          <w:rFonts w:ascii="Arial" w:hAnsi="Arial" w:eastAsia="Arial" w:cs="Arial"/>
        </w:rPr>
        <w:t>9. Юридические оговорки</w:t>
      </w:r>
    </w:p>
    <w:p>
      <w:pPr>
        <w:spacing w:after="60"/>
        <w:ind w:left="340" w:hanging="198"/>
      </w:pPr>
      <w:r>
        <w:rPr>
          <w:rFonts w:ascii="Arial" w:hAnsi="Arial" w:eastAsia="Arial" w:cs="Arial"/>
          <w:b/>
        </w:rPr>
        <w:t xml:space="preserve">• </w:t>
      </w:r>
      <w:r>
        <w:rPr>
          <w:rFonts w:ascii="Arial" w:hAnsi="Arial" w:eastAsia="Arial" w:cs="Arial"/>
        </w:rPr>
        <w:t>конкретная регистрационная форма и технический набор документов должны быть финально проверены по актуальному армяноязычному законодательству Республики Армения о некоммерческих организациях / общественных организациях / фондах;</w:t>
      </w:r>
    </w:p>
    <w:p>
      <w:pPr>
        <w:spacing w:after="60"/>
        <w:ind w:left="340" w:hanging="198"/>
      </w:pPr>
      <w:r>
        <w:rPr>
          <w:rFonts w:ascii="Arial" w:hAnsi="Arial" w:eastAsia="Arial" w:cs="Arial"/>
          <w:b/>
        </w:rPr>
        <w:t xml:space="preserve">• </w:t>
      </w:r>
      <w:r>
        <w:rPr>
          <w:rFonts w:ascii="Arial" w:hAnsi="Arial" w:eastAsia="Arial" w:cs="Arial"/>
        </w:rPr>
        <w:t>рабочее название НКО подлежит проверке на доступность и допустимость при регистрации;</w:t>
      </w:r>
    </w:p>
    <w:p>
      <w:pPr>
        <w:spacing w:after="60"/>
        <w:ind w:left="340" w:hanging="198"/>
      </w:pPr>
      <w:r>
        <w:rPr>
          <w:rFonts w:ascii="Arial" w:hAnsi="Arial" w:eastAsia="Arial" w:cs="Arial"/>
          <w:b/>
        </w:rPr>
        <w:t xml:space="preserve">• </w:t>
      </w:r>
      <w:r>
        <w:rPr>
          <w:rFonts w:ascii="Arial" w:hAnsi="Arial" w:eastAsia="Arial" w:cs="Arial"/>
        </w:rPr>
        <w:t>устав лучше адаптировать в двух версиях: краткая официальная регистрационная и расширенная внутренняя управленческая.</w:t>
      </w:r>
    </w:p>
    <w:p>
      <w:pPr>
        <w:pStyle w:val="QuoteBox"/>
        <w:shd w:fill="F6F7F9" w:val="clear" w:color="auto"/>
        <w:pBdr>
          <w:left w:val="single" w:sz="10" w:space="6" w:color="C9D0DA"/>
        </w:pBdr>
      </w:pPr>
      <w:r>
        <w:rPr>
          <w:rFonts w:ascii="Arial" w:hAnsi="Arial" w:eastAsia="Arial" w:cs="Arial"/>
          <w:b/>
        </w:rPr>
        <w:t xml:space="preserve">Базовые официальные опоры пакета: </w:t>
      </w:r>
      <w:r>
        <w:rPr>
          <w:rFonts w:ascii="Arial" w:hAnsi="Arial" w:eastAsia="Arial" w:cs="Arial"/>
        </w:rPr>
        <w:t>Общие официальные источники пакета; Актуальное армяноязычное законодательство Республики Армения о некоммерческих организациях и/или общественных организациях; При необходимости — законодательство о фондах, если будет выбрана модель без членства</w:t>
      </w:r>
    </w:p>
    <w:p>
      <w:pPr>
        <w:pStyle w:val="Heading1Custom"/>
      </w:pPr>
      <w:r>
        <w:rPr>
          <w:rFonts w:ascii="Arial" w:hAnsi="Arial" w:eastAsia="Arial" w:cs="Arial"/>
        </w:rPr>
        <w:t>10. Что именно получает Армения от институциональной опоры в лице НКО</w:t>
      </w:r>
    </w:p>
    <w:p>
      <w:pPr/>
      <w:r>
        <w:rPr>
          <w:rFonts w:ascii="Arial" w:hAnsi="Arial" w:eastAsia="Arial" w:cs="Arial"/>
        </w:rPr>
        <w:t>• НКО превращает инициативу из разовой кампании в постоянный канал экспертного взаимодействия между обществом и государством;</w:t>
      </w:r>
    </w:p>
    <w:p>
      <w:pPr/>
      <w:r>
        <w:rPr>
          <w:rFonts w:ascii="Arial" w:hAnsi="Arial" w:eastAsia="Arial" w:cs="Arial"/>
        </w:rPr>
        <w:t>• для Армении это означает появление одного организованного, предсказуемого и юридически дисциплинированного контрагента для консультаций, мониторинга и доработки законодательства;</w:t>
      </w:r>
    </w:p>
    <w:p>
      <w:pPr/>
      <w:r>
        <w:rPr>
          <w:rFonts w:ascii="Arial" w:hAnsi="Arial" w:eastAsia="Arial" w:cs="Arial"/>
        </w:rPr>
        <w:t>• структурированная НКО помогает собирать реальные кейсы, что повышает качество будущих законов и снижает риск ошибочных норм;</w:t>
      </w:r>
    </w:p>
    <w:p>
      <w:pPr/>
      <w:r>
        <w:rPr>
          <w:rFonts w:ascii="Arial" w:hAnsi="Arial" w:eastAsia="Arial" w:cs="Arial"/>
        </w:rPr>
        <w:t>• через НКО государство получает инфраструктуру социальной и правовой интеграции релокантов, не создавая всё с нуля внутри органов власти.</w:t>
      </w:r>
    </w:p>
    <w:p>
      <w:pPr>
        <w:pStyle w:val="Heading1Custom"/>
      </w:pPr>
      <w:r>
        <w:rPr>
          <w:rFonts w:ascii="Arial" w:hAnsi="Arial" w:eastAsia="Arial" w:cs="Arial"/>
        </w:rPr>
        <w:t>11. Временное гражданство и гражданская принадлежность: выбор одного статуса или параллельный запуск</w:t>
      </w:r>
    </w:p>
    <w:p>
      <w:pPr/>
      <w:r>
        <w:rPr>
          <w:rFonts w:ascii="Arial" w:hAnsi="Arial" w:eastAsia="Arial" w:cs="Arial"/>
        </w:rPr>
        <w:t>1. модель выбора одного статуса: государство вправе рассмотреть временное гражданство и гражданскую принадлежность как два самостоятельных проекта и принять только один из них;</w:t>
      </w:r>
    </w:p>
    <w:p>
      <w:pPr/>
      <w:r>
        <w:rPr>
          <w:rFonts w:ascii="Arial" w:hAnsi="Arial" w:eastAsia="Arial" w:cs="Arial"/>
        </w:rPr>
        <w:t>2. модель параллельного запуска: государство вправе одновременно принять оба статуса и предоставить заявителю или уполномоченному органу выбор наилучшего маршрута в зависимости от степени интеграции, семейной ситуации и публичного интереса;</w:t>
      </w:r>
    </w:p>
    <w:p>
      <w:pPr/>
      <w:r>
        <w:rPr>
          <w:rFonts w:ascii="Arial" w:hAnsi="Arial" w:eastAsia="Arial" w:cs="Arial"/>
        </w:rPr>
        <w:t>3. модель поэтапного введения: гражданская принадлежность запускается первой как более быстрый законодательный трек, а временное гражданство вводится после прохождения конституционного маршрута;</w:t>
      </w:r>
    </w:p>
    <w:p>
      <w:pPr/>
      <w:r>
        <w:rPr>
          <w:rFonts w:ascii="Arial" w:hAnsi="Arial" w:eastAsia="Arial" w:cs="Arial"/>
        </w:rPr>
        <w:t>4. в нормативных текстах целесообразно прямо закрепить, что наличие гражданской принадлежности не препятствует последующему обращению за временным гражданством или полным гражданством, если лицо соответствует установленным законом критериям.</w:t>
      </w:r>
    </w:p>
    <w:p>
      <w:pPr>
        <w:pStyle w:val="Heading1Custom"/>
      </w:pPr>
      <w:r>
        <w:rPr>
          <w:rFonts w:ascii="Arial" w:hAnsi="Arial" w:eastAsia="Arial" w:cs="Arial"/>
        </w:rPr>
        <w:t>12. Архитектура сайта и цифровой кампании поддержки законопроекта</w:t>
      </w:r>
    </w:p>
    <w:p>
      <w:pPr/>
      <w:r>
        <w:rPr>
          <w:rFonts w:ascii="Arial" w:hAnsi="Arial" w:eastAsia="Arial" w:cs="Arial"/>
        </w:rPr>
        <w:t>1. в верхней части сайта размещается не информация о НКО, а публичный блок поддержки законопроекта с авторизацией через Facebook, Instagram, Telegram и WhatsApp;</w:t>
      </w:r>
    </w:p>
    <w:p>
      <w:pPr/>
      <w:r>
        <w:rPr>
          <w:rFonts w:ascii="Arial" w:hAnsi="Arial" w:eastAsia="Arial" w:cs="Arial"/>
        </w:rPr>
        <w:t>2. голосование строится по модели одного допустимого действия — «Поддерживаю», с принципом один пользователь — одно событие поддержки;</w:t>
      </w:r>
    </w:p>
    <w:p>
      <w:pPr/>
      <w:r>
        <w:rPr>
          <w:rFonts w:ascii="Arial" w:hAnsi="Arial" w:eastAsia="Arial" w:cs="Arial"/>
        </w:rPr>
        <w:t>3. рядом с кнопкой размещаются счётчик поддержавших и счётчик событий кампании, а также журнал последних событий поддержки;</w:t>
      </w:r>
    </w:p>
    <w:p>
      <w:pPr/>
      <w:r>
        <w:rPr>
          <w:rFonts w:ascii="Arial" w:hAnsi="Arial" w:eastAsia="Arial" w:cs="Arial"/>
        </w:rPr>
        <w:t>4. информация о НКО переносится в нижнюю часть сайта и подаётся в формуле «сделано при поддержке НКО релокантов», чтобы отделить общественную экспертизу и сопровождение от верхнего публичного призыва к поддержке.</w:t>
      </w:r>
    </w:p>
    <w:p>
      <w:pPr>
        <w:pStyle w:val="Heading1Custom"/>
      </w:pPr>
      <w:r>
        <w:rPr>
          <w:rFonts w:ascii="Arial" w:hAnsi="Arial" w:eastAsia="Arial" w:cs="Arial"/>
        </w:rPr>
        <w:t>13. Разграничение функций НКО и общественно-политической коалиции поддержки</w:t>
      </w:r>
    </w:p>
    <w:p>
      <w:pPr/>
      <w:r>
        <w:rPr>
          <w:rFonts w:ascii="Arial" w:hAnsi="Arial" w:eastAsia="Arial" w:cs="Arial"/>
        </w:rPr>
        <w:t>1. НКО выступает заявителем, экспертным координатором и инфраструктурной опорой инициативы, но верхний политико-коммуникационный слой кампании может оформляться как более широкая общественная коалиция сторонников реформы;</w:t>
      </w:r>
    </w:p>
    <w:p>
      <w:pPr/>
      <w:r>
        <w:rPr>
          <w:rFonts w:ascii="Arial" w:hAnsi="Arial" w:eastAsia="Arial" w:cs="Arial"/>
        </w:rPr>
        <w:t>2. это разграничение снижает юридические и репутационные риски смешения правовой экспертизы, сервисной поддержки заявителей и политической поддержки реформаторского курса;</w:t>
      </w:r>
    </w:p>
    <w:p>
      <w:pPr/>
      <w:r>
        <w:rPr>
          <w:rFonts w:ascii="Arial" w:hAnsi="Arial" w:eastAsia="Arial" w:cs="Arial"/>
        </w:rPr>
        <w:t>3. личная поддержка Премьер-министра Николa Пашиняна и желание сообщества двигаться с ним в следующих выборах оформляются как общественно-политическая декларация сообщества, а не как обязательный элемент учредительного устава НКО.</w:t>
      </w:r>
    </w:p>
    <w:p>
      <w:pPr>
        <w:pStyle w:val="Heading1Custom"/>
      </w:pPr>
      <w:r>
        <w:rPr>
          <w:rFonts w:ascii="Arial" w:hAnsi="Arial" w:eastAsia="Arial" w:cs="Arial"/>
        </w:rPr>
        <w:t>14. Раздел общественной поддержки реформы и личной поддержки Премьер-министра Республики Армения</w:t>
      </w:r>
    </w:p>
    <w:p>
      <w:pPr/>
      <w:r>
        <w:rPr>
          <w:rFonts w:ascii="Arial" w:hAnsi="Arial" w:eastAsia="Arial" w:cs="Arial"/>
        </w:rPr>
        <w:t>Сообщество релокантов, поддерживающее реформу, выражает личную политическую поддержку Премьер-министру Республики Армения Николу Пашиняну как руководителю, при котором Армения сохранила открытость к реформам, институциональному диалогу и правовой интеграции новых жителей.</w:t>
      </w:r>
    </w:p>
    <w:p>
      <w:pPr/>
      <w:r>
        <w:rPr>
          <w:rFonts w:ascii="Arial" w:hAnsi="Arial" w:eastAsia="Arial" w:cs="Arial"/>
        </w:rPr>
        <w:t>Сообщество заявляет о желании двигаться вместе с Николом Пашиняном и его политической командой в следующих электоральных циклах и связывать с этим курсом своё долгосрочное будущее в Армении. До приобретения предусмотренных законом избирательных прав такая поддержка выражается в общественной, экспертной, публичной и организационной плоскости; после получения соответствующего статуса и прав — также в политическом процессе в пределах, допускаемых Конституцией и законами Республики Армения.</w:t>
      </w:r>
    </w:p>
    <w:p>
      <w:pPr>
        <w:pStyle w:val="QuoteBox"/>
        <w:shd w:fill="F6F7F9" w:val="clear" w:color="auto"/>
        <w:pBdr>
          <w:left w:val="single" w:sz="10" w:space="6" w:color="C9D0DA"/>
        </w:pBdr>
      </w:pPr>
      <w:r>
        <w:rPr>
          <w:rFonts w:ascii="Arial" w:hAnsi="Arial" w:eastAsia="Arial" w:cs="Arial"/>
        </w:rPr>
        <w:t>Готовая формула для публичного использования: «Сообщество релокантов поддерживает Премьер-министра Никола Пашиняна и его реформаторский курс, связывает своё долгосрочное будущее с Арменией и по мере получения предусмотренных законом прав готово двигаться вместе с ним и его командой в будущих выборах».</w:t>
      </w:r>
    </w:p>
    <w:p>
      <w:r>
        <w:rPr>
          <w:rFonts w:ascii="Arial" w:hAnsi="Arial" w:eastAsia="Arial" w:cs="Arial"/>
        </w:rPr>
        <w:br w:type="page"/>
      </w:r>
    </w:p>
    <w:tbl>
      <w:tblPr>
        <w:tblW w:type="auto" w:w="0"/>
        <w:tblLook w:firstColumn="1" w:firstRow="1" w:lastColumn="0" w:lastRow="0" w:noHBand="0" w:noVBand="1" w:val="04A0"/>
        <w:tblCellMar>
          <w:top w:w="0" w:type="dxa"/>
          <w:start w:w="0" w:type="dxa"/>
          <w:bottom w:w="0" w:type="dxa"/>
          <w:end w:w="0" w:type="dxa"/>
        </w:tblCellMar>
        <w:jc w:val="center"/>
        <w:tblBorders>
          <w:top w:val="nil" w:sz="0" w:space="0" w:color="C9CED6"/>
          <w:left w:val="nil" w:sz="0" w:space="0" w:color="C9CED6"/>
          <w:bottom w:val="nil" w:sz="0" w:space="0" w:color="C9CED6"/>
          <w:right w:val="nil" w:sz="0" w:space="0" w:color="C9CED6"/>
          <w:insideH w:val="nil" w:sz="0" w:space="0" w:color="C9CED6"/>
          <w:insideV w:val="nil" w:sz="0" w:space="0" w:color="C9CED6"/>
        </w:tblBorders>
      </w:tblPr>
      <w:tblGrid>
        <w:gridCol w:w="3175"/>
        <w:gridCol w:w="3175"/>
        <w:gridCol w:w="3175"/>
      </w:tblGrid>
      <w:tr>
        <w:tc>
          <w:tcPr>
            <w:tcW w:type="dxa" w:w="3175"/>
            <w:shd w:fill="D90012"/>
            <w:tcBorders>
              <w:top w:sz="0" w:val="nil" w:color="FFFFFF"/>
              <w:bottom w:sz="0" w:val="nil" w:color="FFFFFF"/>
              <w:left w:sz="0" w:val="nil" w:color="FFFFFF"/>
              <w:right w:sz="0" w:val="nil" w:color="FFFFFF"/>
            </w:tcBorders>
            <w:vAlign w:val="center"/>
          </w:tcPr>
          <w:p>
            <w:pPr>
              <w:spacing w:after="50" w:before="0" w:line="269" w:lineRule="auto"/>
            </w:pPr>
          </w:p>
        </w:tc>
        <w:tc>
          <w:tcPr>
            <w:tcW w:type="dxa" w:w="3175"/>
            <w:shd w:fill="0033A0"/>
            <w:tcBorders>
              <w:top w:sz="0" w:val="nil" w:color="FFFFFF"/>
              <w:bottom w:sz="0" w:val="nil" w:color="FFFFFF"/>
              <w:left w:sz="0" w:val="nil" w:color="FFFFFF"/>
              <w:right w:sz="0" w:val="nil" w:color="FFFFFF"/>
            </w:tcBorders>
            <w:vAlign w:val="center"/>
          </w:tcPr>
          <w:p>
            <w:pPr>
              <w:spacing w:after="50" w:before="0" w:line="269" w:lineRule="auto"/>
            </w:pPr>
          </w:p>
        </w:tc>
        <w:tc>
          <w:tcPr>
            <w:tcW w:type="dxa" w:w="3175"/>
            <w:shd w:fill="F2A800"/>
            <w:tcBorders>
              <w:top w:sz="0" w:val="nil" w:color="FFFFFF"/>
              <w:bottom w:sz="0" w:val="nil" w:color="FFFFFF"/>
              <w:left w:sz="0" w:val="nil" w:color="FFFFFF"/>
              <w:right w:sz="0" w:val="nil" w:color="FFFFFF"/>
            </w:tcBorders>
            <w:vAlign w:val="center"/>
          </w:tcPr>
          <w:p>
            <w:pPr>
              <w:spacing w:after="50" w:before="0" w:line="269" w:lineRule="auto"/>
            </w:pPr>
          </w:p>
        </w:tc>
      </w:tr>
    </w:tbl>
    <w:p/>
    <w:p>
      <w:pPr>
        <w:pStyle w:val="SmallGray"/>
        <w:jc w:val="center"/>
      </w:pPr>
      <w:r>
        <w:rPr>
          <w:rFonts w:ascii="Arial" w:hAnsi="Arial" w:eastAsia="Arial" w:cs="Arial"/>
        </w:rPr>
        <w:t>ПАКЕТ 06 • РАБОЧАЯ РУССКОЯЗЫЧНАЯ РЕДАКЦИЯ ДЛЯ ГОСУДАРСТВЕННОГО ПРЕДСТАВЛЕНИЯ</w:t>
      </w:r>
    </w:p>
    <w:p>
      <w:pPr>
        <w:pStyle w:val="TitleCustom"/>
        <w:jc w:val="center"/>
      </w:pPr>
      <w:r>
        <w:rPr>
          <w:rFonts w:ascii="Arial" w:hAnsi="Arial" w:eastAsia="Arial" w:cs="Arial"/>
        </w:rPr>
        <w:t>Пакет государственных обращений и публичной кампании</w:t>
      </w:r>
    </w:p>
    <w:p>
      <w:pPr>
        <w:pStyle w:val="SubtitleCustom"/>
        <w:jc w:val="center"/>
      </w:pPr>
      <w:r>
        <w:rPr>
          <w:rFonts w:ascii="Arial" w:hAnsi="Arial" w:eastAsia="Arial" w:cs="Arial"/>
        </w:rPr>
        <w:t>Официальное обращение, открытое письмо, исполнительное резюме, шаблоны сопроводительных сообщений и формулы презентации пакета реформы на государственном уровне</w:t>
      </w:r>
    </w:p>
    <w:tbl>
      <w:tblPr>
        <w:tblW w:type="auto" w:w="0"/>
        <w:tblLook w:firstColumn="1" w:firstRow="1" w:lastColumn="0" w:lastRow="0" w:noHBand="0" w:noVBand="1" w:val="04A0"/>
        <w:tblCellMar>
          <w:top w:w="85" w:type="dxa"/>
          <w:start w:w="100" w:type="dxa"/>
          <w:bottom w:w="85" w:type="dxa"/>
          <w:end w:w="100" w:type="dxa"/>
        </w:tblCellMar>
        <w:jc w:val="center"/>
        <w:tblBorders>
          <w:top w:val="single" w:sz="5" w:space="0" w:color="C9CED6"/>
          <w:left w:val="single" w:sz="5" w:space="0" w:color="C9CED6"/>
          <w:bottom w:val="single" w:sz="5" w:space="0" w:color="C9CED6"/>
          <w:right w:val="single" w:sz="5" w:space="0" w:color="C9CED6"/>
          <w:insideH w:val="single" w:sz="5" w:space="0" w:color="C9CED6"/>
          <w:insideV w:val="single" w:sz="5" w:space="0" w:color="C9CED6"/>
        </w:tblBorders>
      </w:tblPr>
      <w:tblGrid>
        <w:gridCol w:w="2268"/>
        <w:gridCol w:w="6520"/>
      </w:tblGrid>
      <w:tr>
        <w:tc>
          <w:tcPr>
            <w:tcW w:type="dxa" w:w="4762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  <w:shd w:fill="F5F7FA" w:color="auto" w:val="clear"/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/>
                <w:color w:val="27303A"/>
                <w:sz w:val="21"/>
              </w:rPr>
              <w:t>Дата</w:t>
            </w:r>
          </w:p>
        </w:tc>
        <w:tc>
          <w:tcPr>
            <w:tcW w:type="dxa" w:w="4762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</w:rPr>
              <w:t>28 марта 2026 года</w:t>
            </w:r>
          </w:p>
        </w:tc>
      </w:tr>
      <w:tr>
        <w:tc>
          <w:tcPr>
            <w:tcW w:type="dxa" w:w="4762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  <w:shd w:fill="F5F7FA" w:color="auto" w:val="clear"/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/>
                <w:color w:val="27303A"/>
                <w:sz w:val="21"/>
              </w:rPr>
              <w:t>Статус</w:t>
            </w:r>
          </w:p>
        </w:tc>
        <w:tc>
          <w:tcPr>
            <w:tcW w:type="dxa" w:w="4762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</w:rPr>
              <w:t>Подготовленный рабочий пакет для государственной презентации, подачи и последующей армяноязычной юридико-технической адаптации</w:t>
            </w:r>
          </w:p>
        </w:tc>
      </w:tr>
    </w:tbl>
    <w:p/>
    <w:p>
      <w:pPr>
        <w:pStyle w:val="QuoteBox"/>
        <w:shd w:fill="F6F7F9" w:val="clear" w:color="auto"/>
        <w:pBdr>
          <w:left w:val="single" w:sz="10" w:space="6" w:color="C9D0DA"/>
        </w:pBdr>
      </w:pPr>
      <w:r>
        <w:rPr>
          <w:rFonts w:ascii="Arial" w:hAnsi="Arial" w:eastAsia="Arial" w:cs="Arial"/>
          <w:b/>
        </w:rPr>
        <w:t xml:space="preserve">Примечание. </w:t>
      </w:r>
      <w:r>
        <w:rPr>
          <w:rFonts w:ascii="Arial" w:hAnsi="Arial" w:eastAsia="Arial" w:cs="Arial"/>
        </w:rPr>
        <w:t>Все проекты составлены на русском языке как рабочая версия для государственной презентации. Для официального внесения в органы Республики Армения требуется параллельная армяноязычная юридико-техническая редакция и финальная сверка с актуальными редакциями актов в ARLIS.</w:t>
      </w:r>
    </w:p>
    <w:p>
      <w:r>
        <w:rPr>
          <w:rFonts w:ascii="Arial" w:hAnsi="Arial" w:eastAsia="Arial" w:cs="Arial"/>
        </w:rPr>
        <w:br w:type="page"/>
      </w:r>
    </w:p>
    <w:p>
      <w:pPr>
        <w:pStyle w:val="Heading1Custom"/>
      </w:pPr>
      <w:r>
        <w:rPr>
          <w:rFonts w:ascii="Arial" w:hAnsi="Arial" w:eastAsia="Arial" w:cs="Arial"/>
        </w:rPr>
        <w:t>1. Назначение пакета</w:t>
      </w:r>
    </w:p>
    <w:p>
      <w:pPr/>
      <w:r>
        <w:rPr>
          <w:rFonts w:ascii="Arial" w:hAnsi="Arial" w:eastAsia="Arial" w:cs="Arial"/>
        </w:rPr>
        <w:t xml:space="preserve">Этот пакет предназначен для внешнего представления инициативы: он содержит не нормативные тексты как таковые, а </w:t>
      </w:r>
      <w:r>
        <w:rPr>
          <w:rFonts w:ascii="Arial" w:hAnsi="Arial" w:eastAsia="Arial" w:cs="Arial"/>
          <w:b/>
        </w:rPr>
        <w:t>сопроводительные документы</w:t>
      </w:r>
      <w:r>
        <w:rPr>
          <w:rFonts w:ascii="Arial" w:hAnsi="Arial" w:eastAsia="Arial" w:cs="Arial"/>
        </w:rPr>
        <w:t>, без которых даже хороший законопроект редко продвигается. Задача пакета — кратко, внятно и на государственном языке объяснить адресатам, зачем нужны два статуса, почему требуется конституционный блок и почему инициатива полезна для самой Армении.</w:t>
      </w:r>
    </w:p>
    <w:p>
      <w:pPr>
        <w:pStyle w:val="Heading1Custom"/>
      </w:pPr>
      <w:r>
        <w:rPr>
          <w:rFonts w:ascii="Arial" w:hAnsi="Arial" w:eastAsia="Arial" w:cs="Arial"/>
        </w:rPr>
        <w:t>2. Состав пакета</w:t>
      </w:r>
    </w:p>
    <w:tbl>
      <w:tblPr>
        <w:tblStyle w:val="TableGrid"/>
        <w:tblW w:type="auto" w:w="0"/>
        <w:tblLayout w:type="fixed"/>
        <w:tblLook w:firstColumn="1" w:firstRow="1" w:lastColumn="0" w:lastRow="0" w:noHBand="0" w:noVBand="1" w:val="04A0"/>
        <w:tblCellMar>
          <w:top w:w="85" w:type="dxa"/>
          <w:start w:w="100" w:type="dxa"/>
          <w:bottom w:w="85" w:type="dxa"/>
          <w:end w:w="100" w:type="dxa"/>
        </w:tblCellMar>
        <w:jc w:val="center"/>
        <w:tblBorders>
          <w:top w:val="single" w:sz="5" w:space="0" w:color="C9CED6"/>
          <w:left w:val="single" w:sz="5" w:space="0" w:color="C9CED6"/>
          <w:bottom w:val="single" w:sz="5" w:space="0" w:color="C9CED6"/>
          <w:right w:val="single" w:sz="5" w:space="0" w:color="C9CED6"/>
          <w:insideH w:val="single" w:sz="5" w:space="0" w:color="C9CED6"/>
          <w:insideV w:val="single" w:sz="5" w:space="0" w:color="C9CED6"/>
        </w:tblBorders>
      </w:tblPr>
      <w:tblGrid>
        <w:gridCol w:w="4762"/>
        <w:gridCol w:w="4762"/>
      </w:tblGrid>
      <w:tr>
        <w:tc>
          <w:tcPr>
            <w:tcW w:type="dxa" w:w="2835"/>
            <w:shd w:fill="F5F7FA" w:color="auto" w:val="clear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50" w:before="0" w:line="269" w:lineRule="auto"/>
              <w:jc w:val="center"/>
            </w:pPr>
            <w:r>
              <w:rPr>
                <w:rFonts w:ascii="Arial" w:hAnsi="Arial" w:eastAsia="Arial" w:cs="Arial"/>
                <w:b/>
                <w:color w:val="27303A"/>
                <w:sz w:val="21"/>
              </w:rPr>
              <w:t>Документ</w:t>
            </w:r>
          </w:p>
        </w:tc>
        <w:tc>
          <w:tcPr>
            <w:tcW w:type="dxa" w:w="6350"/>
            <w:shd w:fill="EEE7E0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50" w:before="0" w:line="269" w:lineRule="auto"/>
              <w:jc w:val="center"/>
            </w:pPr>
            <w:r>
              <w:rPr>
                <w:rFonts w:ascii="Arial" w:hAnsi="Arial" w:eastAsia="Arial" w:cs="Arial"/>
                <w:b/>
              </w:rPr>
              <w:t>Назначение</w:t>
            </w:r>
          </w:p>
        </w:tc>
      </w:tr>
      <w:tr>
        <w:tc>
          <w:tcPr>
            <w:tcW w:type="dxa" w:w="2835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  <w:tcMar>
              <w:top w:w="90" w:type="dxa"/>
              <w:left w:w="90" w:type="dxa"/>
              <w:bottom w:w="90" w:type="dxa"/>
              <w:right w:w="90" w:type="dxa"/>
            </w:tcMar>
            <w:shd w:fill="F5F7FA" w:color="auto" w:val="clear"/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/>
                <w:color w:val="27303A"/>
                <w:sz w:val="21"/>
              </w:rPr>
              <w:t>Исполнительное резюме</w:t>
            </w:r>
          </w:p>
        </w:tc>
        <w:tc>
          <w:tcPr>
            <w:tcW w:type="dxa" w:w="6350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</w:rPr>
              <w:t>Быстрое объяснение сути пакета для должностных лиц и политических руководителей.</w:t>
            </w:r>
          </w:p>
        </w:tc>
      </w:tr>
      <w:tr>
        <w:tc>
          <w:tcPr>
            <w:tcW w:type="dxa" w:w="2835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  <w:tcMar>
              <w:top w:w="90" w:type="dxa"/>
              <w:left w:w="90" w:type="dxa"/>
              <w:bottom w:w="90" w:type="dxa"/>
              <w:right w:w="90" w:type="dxa"/>
            </w:tcMar>
            <w:shd w:fill="F5F7FA" w:color="auto" w:val="clear"/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/>
                <w:color w:val="27303A"/>
                <w:sz w:val="21"/>
              </w:rPr>
              <w:t>Официальное обращение</w:t>
            </w:r>
          </w:p>
        </w:tc>
        <w:tc>
          <w:tcPr>
            <w:tcW w:type="dxa" w:w="6350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</w:rPr>
              <w:t>Формальная подача в Правительство Республики Армения с просьбой о рассмотрении и запуске реформы.</w:t>
            </w:r>
          </w:p>
        </w:tc>
      </w:tr>
      <w:tr>
        <w:tc>
          <w:tcPr>
            <w:tcW w:type="dxa" w:w="2835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  <w:tcMar>
              <w:top w:w="90" w:type="dxa"/>
              <w:left w:w="90" w:type="dxa"/>
              <w:bottom w:w="90" w:type="dxa"/>
              <w:right w:w="90" w:type="dxa"/>
            </w:tcMar>
            <w:shd w:fill="F5F7FA" w:color="auto" w:val="clear"/>
          </w:tcPr>
          <w:p>
            <w:pPr>
              <w:spacing w:after="50" w:before="0" w:line="269" w:lineRule="auto"/>
              <w:jc w:val="center"/>
            </w:pPr>
            <w:r>
              <w:rPr>
                <w:rFonts w:ascii="Arial" w:hAnsi="Arial" w:eastAsia="Arial" w:cs="Arial"/>
                <w:b/>
                <w:color w:val="27303A"/>
                <w:sz w:val="21"/>
              </w:rPr>
              <w:t>Открытое письмо</w:t>
            </w:r>
          </w:p>
        </w:tc>
        <w:tc>
          <w:tcPr>
            <w:tcW w:type="dxa" w:w="6350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</w:rPr>
              <w:t>Публичная политико-правовая формулировка инициативы.</w:t>
            </w:r>
          </w:p>
        </w:tc>
      </w:tr>
      <w:tr>
        <w:tc>
          <w:tcPr>
            <w:tcW w:type="dxa" w:w="2835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</w:rPr>
              <w:t>Шаблон сопроводительного письма / e-mail</w:t>
            </w:r>
          </w:p>
        </w:tc>
        <w:tc>
          <w:tcPr>
            <w:tcW w:type="dxa" w:w="6350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</w:rPr>
              <w:t>Короткая версия для электронной или бумажной отправки.</w:t>
            </w:r>
          </w:p>
        </w:tc>
      </w:tr>
      <w:tr>
        <w:tc>
          <w:tcPr>
            <w:tcW w:type="dxa" w:w="2835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  <w:tcMar>
              <w:top w:w="90" w:type="dxa"/>
              <w:left w:w="90" w:type="dxa"/>
              <w:bottom w:w="90" w:type="dxa"/>
              <w:right w:w="90" w:type="dxa"/>
            </w:tcMar>
            <w:shd w:fill="F5F7FA" w:color="auto" w:val="clear"/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/>
                <w:color w:val="27303A"/>
                <w:sz w:val="21"/>
              </w:rPr>
              <w:t>Тезисы и ответы на вопросы</w:t>
            </w:r>
          </w:p>
        </w:tc>
        <w:tc>
          <w:tcPr>
            <w:tcW w:type="dxa" w:w="6350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</w:rPr>
              <w:t>Материал для встреч, интервью и общественных обсуждений.</w:t>
            </w:r>
          </w:p>
        </w:tc>
      </w:tr>
    </w:tbl>
    <w:p/>
    <w:p>
      <w:pPr>
        <w:pStyle w:val="Heading1Custom"/>
      </w:pPr>
      <w:r>
        <w:rPr>
          <w:rFonts w:ascii="Arial" w:hAnsi="Arial" w:eastAsia="Arial" w:cs="Arial"/>
        </w:rPr>
        <w:t>3. Исполнительное резюме</w:t>
      </w:r>
    </w:p>
    <w:p>
      <w:pPr/>
      <w:r>
        <w:rPr>
          <w:rFonts w:ascii="Arial" w:hAnsi="Arial" w:eastAsia="Arial" w:cs="Arial"/>
        </w:rPr>
        <w:t xml:space="preserve">Инициатива предлагает для Республики Армения </w:t>
      </w:r>
      <w:r>
        <w:rPr>
          <w:rFonts w:ascii="Arial" w:hAnsi="Arial" w:eastAsia="Arial" w:cs="Arial"/>
          <w:b/>
        </w:rPr>
        <w:t>две взаимодополняющие модели защищённого статуса</w:t>
      </w:r>
      <w:r>
        <w:rPr>
          <w:rFonts w:ascii="Arial" w:hAnsi="Arial" w:eastAsia="Arial" w:cs="Arial"/>
        </w:rPr>
        <w:t xml:space="preserve"> для релокантов и иных интегрированных лиц, проживающих в Армении не менее шести месяцев.</w:t>
      </w:r>
    </w:p>
    <w:p>
      <w:pPr>
        <w:spacing w:after="60"/>
        <w:ind w:left="340" w:hanging="198"/>
      </w:pPr>
      <w:r>
        <w:rPr>
          <w:rFonts w:ascii="Arial" w:hAnsi="Arial" w:eastAsia="Arial" w:cs="Arial"/>
          <w:b/>
        </w:rPr>
        <w:t xml:space="preserve">• </w:t>
      </w:r>
      <w:r>
        <w:rPr>
          <w:rFonts w:ascii="Arial" w:hAnsi="Arial" w:eastAsia="Arial" w:cs="Arial"/>
          <w:b/>
        </w:rPr>
        <w:t>Модель 1 — временное гражданство на три года.</w:t>
      </w:r>
      <w:r>
        <w:rPr>
          <w:rFonts w:ascii="Arial" w:hAnsi="Arial" w:eastAsia="Arial" w:cs="Arial"/>
        </w:rPr>
        <w:t xml:space="preserve"> Это переходный статус, максимально близкий к гражданству по правам, но без участия в выборах и референдумах. Он даёт право в течение срока статуса обратиться за полным гражданством Армении.</w:t>
      </w:r>
    </w:p>
    <w:p>
      <w:pPr>
        <w:spacing w:after="60"/>
        <w:ind w:left="340" w:hanging="198"/>
      </w:pPr>
      <w:r>
        <w:rPr>
          <w:rFonts w:ascii="Arial" w:hAnsi="Arial" w:eastAsia="Arial" w:cs="Arial"/>
        </w:rPr>
        <w:t>• Модель 2 — специальная гражданская принадлежность. Это самостоятельный и более гибкий статус гражданской принадлежности, который также максимально приближает лицо к гражданству по набору повседневных прав, но конструктивно отделён от полного гражданства.</w:t>
      </w:r>
    </w:p>
    <w:p>
      <w:pPr>
        <w:spacing w:after="60"/>
        <w:ind w:left="340" w:hanging="198"/>
      </w:pPr>
      <w:r>
        <w:rPr>
          <w:rFonts w:ascii="Arial" w:hAnsi="Arial" w:eastAsia="Arial" w:cs="Arial"/>
          <w:b/>
        </w:rPr>
        <w:t xml:space="preserve">• </w:t>
      </w:r>
      <w:r>
        <w:rPr>
          <w:rFonts w:ascii="Arial" w:hAnsi="Arial" w:eastAsia="Arial" w:cs="Arial"/>
          <w:b/>
        </w:rPr>
        <w:t>Сквозная гарантия — абсолютная невыдача.</w:t>
      </w:r>
      <w:r>
        <w:rPr>
          <w:rFonts w:ascii="Arial" w:hAnsi="Arial" w:eastAsia="Arial" w:cs="Arial"/>
        </w:rPr>
        <w:t xml:space="preserve"> Конституционный пакет предлагает запретить выдачу граждан, временных граждан и лиц со специальной гражданской принадлежностью любому иностранному государству, включая Российскую Федерацию.</w:t>
      </w:r>
    </w:p>
    <w:p>
      <w:pPr>
        <w:spacing w:after="60"/>
        <w:ind w:left="340" w:hanging="198"/>
      </w:pPr>
      <w:r>
        <w:rPr>
          <w:rFonts w:ascii="Arial" w:hAnsi="Arial" w:eastAsia="Arial" w:cs="Arial"/>
          <w:b/>
        </w:rPr>
        <w:t xml:space="preserve">• </w:t>
      </w:r>
      <w:r>
        <w:rPr>
          <w:rFonts w:ascii="Arial" w:hAnsi="Arial" w:eastAsia="Arial" w:cs="Arial"/>
          <w:b/>
        </w:rPr>
        <w:t>Институциональная поддержка — НКО релокантов.</w:t>
      </w:r>
      <w:r>
        <w:rPr>
          <w:rFonts w:ascii="Arial" w:hAnsi="Arial" w:eastAsia="Arial" w:cs="Arial"/>
        </w:rPr>
        <w:t xml:space="preserve"> Для сопровождения реформы, сбора кейсов, экспертизы и поддержки заявителей создаётся отдельная некоммерческая организация.</w:t>
      </w:r>
    </w:p>
    <w:p>
      <w:pPr/>
      <w:r>
        <w:rPr>
          <w:rFonts w:ascii="Arial" w:hAnsi="Arial" w:eastAsia="Arial" w:cs="Arial"/>
        </w:rPr>
        <w:t>Политическая ценность инициативы для Армении состоит в том, что она удерживает человеческий капитал, поддерживает экономику, укрепляет международную репутацию страны и превращает фактическую интеграцию людей в прозрачный, законный и управляемый правовой режим.</w:t>
      </w:r>
    </w:p>
    <w:p>
      <w:pPr>
        <w:pStyle w:val="Heading1Custom"/>
      </w:pPr>
      <w:r>
        <w:rPr>
          <w:rFonts w:ascii="Arial" w:hAnsi="Arial" w:eastAsia="Arial" w:cs="Arial"/>
        </w:rPr>
        <w:t>4. Официальное обращение в Правительство Республики Армения</w:t>
      </w:r>
    </w:p>
    <w:p>
      <w:pPr>
        <w:pStyle w:val="Heading2Custom"/>
      </w:pPr>
      <w:r>
        <w:rPr>
          <w:rFonts w:ascii="Arial" w:hAnsi="Arial" w:eastAsia="Arial" w:cs="Arial"/>
        </w:rPr>
        <w:t>Адресат: Премьер-министру Республики Армения Николу Пашиняну</w:t>
      </w:r>
    </w:p>
    <w:p>
      <w:pPr>
        <w:pStyle w:val="SmallGray"/>
      </w:pPr>
      <w:r>
        <w:rPr>
          <w:rFonts w:ascii="Arial" w:hAnsi="Arial" w:eastAsia="Arial" w:cs="Arial"/>
        </w:rPr>
        <w:t>Копия: Президенту Республики Армения Ваагну Хачатуряну; Председателю Национального Собрания; профильным министерствам и комиссиям</w:t>
      </w:r>
    </w:p>
    <w:p>
      <w:pPr/>
      <w:r>
        <w:rPr>
          <w:rFonts w:ascii="Arial" w:hAnsi="Arial" w:eastAsia="Arial" w:cs="Arial"/>
        </w:rPr>
        <w:t>Уважаемый господин Премьер-министр,</w:t>
      </w:r>
    </w:p>
    <w:p>
      <w:pPr/>
      <w:r>
        <w:rPr>
          <w:rFonts w:ascii="Arial" w:hAnsi="Arial" w:eastAsia="Arial" w:cs="Arial"/>
        </w:rPr>
        <w:t>Настоящим направляем на рассмотрение пакет правовой инициативы, направленной на создание в Республике Армения новых защищённых статусов для интегрированных релокантов и иных лиц, законно проживающих в стране не менее шести месяцев.</w:t>
      </w:r>
    </w:p>
    <w:p>
      <w:pPr/>
      <w:r>
        <w:rPr>
          <w:rFonts w:ascii="Arial" w:hAnsi="Arial" w:eastAsia="Arial" w:cs="Arial"/>
        </w:rPr>
        <w:t>Пакет включает: (1) проект конституционных поправок; (2) проект закона о временном гражданстве Республики Армения; (3) проект закона о специальной гражданской принадлежности Республики Армения; (4) предложения о сопутствующих изменениях в законодательство; (5) концепцию НКО релокантов как институционального партнёра реформы.</w:t>
      </w:r>
    </w:p>
    <w:p>
      <w:pPr/>
      <w:r>
        <w:rPr>
          <w:rFonts w:ascii="Arial" w:hAnsi="Arial" w:eastAsia="Arial" w:cs="Arial"/>
        </w:rPr>
        <w:t>Просим Правительство Республики Армения: а) принять пакет к рассмотрению; б) организовать межведомственное обсуждение с участием заинтересованных органов; в) оценить возможность поддержки конституционного и законодательного маршрута; г) рассмотреть модели временного гражданства и гражданской принадлежности как самостоятельные проекты с выбором одного из них либо как параллельный двухконтурный пакет; д) рассмотреть вопрос о создании рабочей группы с участием гражданского общества и профильных экспертов.</w:t>
      </w:r>
    </w:p>
    <w:p>
      <w:pPr/>
      <w:r>
        <w:rPr>
          <w:rFonts w:ascii="Arial" w:hAnsi="Arial" w:eastAsia="Arial" w:cs="Arial"/>
        </w:rPr>
        <w:t>Считаем, что предложенная реформа отвечает интересам Республики Армения, поскольку создаёт прозрачный и управляемый механизм удержания человеческого капитала, защищает уже интегрированных лиц от правовой неопределённости и укрепляет имидж Армении как правового и гуманного государства.</w:t>
      </w:r>
    </w:p>
    <w:p>
      <w:pPr/>
      <w:r>
        <w:rPr>
          <w:rFonts w:ascii="Arial" w:hAnsi="Arial" w:eastAsia="Arial" w:cs="Arial"/>
        </w:rPr>
        <w:t>Отдельно обращаем внимание на просьбу закрепить на конституционном уровне усиленная гарантия защиты от выдачи граждан Республики Армения, лиц со временным гражданством и лиц со специальной гражданской принадлежностью любому иностранному государству.</w:t>
      </w:r>
    </w:p>
    <w:p>
      <w:pPr/>
      <w:r>
        <w:rPr>
          <w:rFonts w:ascii="Arial" w:hAnsi="Arial" w:eastAsia="Arial" w:cs="Arial"/>
        </w:rPr>
        <w:t>Приложения: полный пакет проектов и пояснительных материалов.</w:t>
      </w:r>
    </w:p>
    <w:p>
      <w:pPr>
        <w:pStyle w:val="Heading1Custom"/>
      </w:pPr>
      <w:r>
        <w:rPr>
          <w:rFonts w:ascii="Arial" w:hAnsi="Arial" w:eastAsia="Arial" w:cs="Arial"/>
        </w:rPr>
        <w:t>5. Открытое письмо Премьер-министру Республики Армения</w:t>
      </w:r>
    </w:p>
    <w:p>
      <w:pPr/>
      <w:r>
        <w:rPr>
          <w:rFonts w:ascii="Arial" w:hAnsi="Arial" w:eastAsia="Arial" w:cs="Arial"/>
        </w:rPr>
        <w:t>Уважаемый господин Премьер-министр!</w:t>
      </w:r>
    </w:p>
    <w:p>
      <w:pPr/>
      <w:r>
        <w:rPr>
          <w:rFonts w:ascii="Arial" w:hAnsi="Arial" w:eastAsia="Arial" w:cs="Arial"/>
        </w:rPr>
        <w:t>Мы обращаемся к Вам с предложением рассмотреть пакет решений, направленных на более глубокую и управляемую интеграцию в армянское общество тех людей, которые уже живут в Республике Армения, работают здесь, открывают компании, инвестируют в экономику и связывают с Арменией свою долгосрочную жизненную перспективу.</w:t>
      </w:r>
    </w:p>
    <w:p>
      <w:pPr/>
      <w:r>
        <w:rPr>
          <w:rFonts w:ascii="Arial" w:hAnsi="Arial" w:eastAsia="Arial" w:cs="Arial"/>
        </w:rPr>
        <w:t>За последние годы в Армении сформировалось заметное сообщество высококвалифицированных специалистов, предпринимателей, врачей, инженеров, преподавателей, исследователей и представителей цифровой экономики, прибывших из разных государств в поиске безопасной, предсказуемой и правовой среды для жизни и труда. Эти люди снимают и приобретают жильё, переводят команды, создают рабочие места, открывают новые направления бизнеса, пользуются местными услугами и расширяют профессиональные связи Армении.</w:t>
      </w:r>
    </w:p>
    <w:p>
      <w:pPr/>
      <w:r>
        <w:rPr>
          <w:rFonts w:ascii="Arial" w:hAnsi="Arial" w:eastAsia="Arial" w:cs="Arial"/>
        </w:rPr>
        <w:t>При этом отсутствие ускоренного и юридически определённого маршрута к устойчивому защищённому статусу сдерживает полноту их интеграции. Сохраняется ощущение правовой временности, которое затрудняет перевод семей, расширение бизнеса, локализацию доходов и налоговой базы, долгосрочные инвестиции и окончательное закрепление в армянской юрисдикции. Психологически это выражается в постоянном чувстве неустойчивости даже у тех, кто фактически уже сделал выбор в пользу жизни в Армении.</w:t>
      </w:r>
    </w:p>
    <w:p>
      <w:pPr/>
      <w:r>
        <w:rPr>
          <w:rFonts w:ascii="Arial" w:hAnsi="Arial" w:eastAsia="Arial" w:cs="Arial"/>
        </w:rPr>
        <w:t>Именно поэтому предлагаются два правовых инструмента: временное гражданство Республики Армения сроком на три года для лиц, проживших в стране не менее шести месяцев, и гражданская принадлежность Республики Армения как самостоятельный статус, максимально приближённый к гражданству по объёму повседневных прав. Эти решения могут быть рассмотрены государством как два самостоятельных варианта с выбором одного либо как параллельные взаимодополняющие механизмы правовой интеграции.</w:t>
      </w:r>
    </w:p>
    <w:p>
      <w:pPr/>
      <w:r>
        <w:rPr>
          <w:rFonts w:ascii="Arial" w:hAnsi="Arial" w:eastAsia="Arial" w:cs="Arial"/>
        </w:rPr>
        <w:t>Для Республики Армения это решение несёт прямую государственную пользу. Оно укрепляет налоговую базу, ускоряет локализацию бизнеса, повышает занятость, стимулирует инвестиции, усиливает здравоохранение, высокотехнологичный сектор, образование и сервисную экономику, а также закрепляет за Арменией репутацию современного государства, способного превращать человеческий капитал в долгосрочное развитие.</w:t>
      </w:r>
    </w:p>
    <w:p>
      <w:pPr/>
      <w:r>
        <w:rPr>
          <w:rFonts w:ascii="Arial" w:hAnsi="Arial" w:eastAsia="Arial" w:cs="Arial"/>
        </w:rPr>
        <w:t>Мы обращаемся именно к Вам, поскольку значительная часть сообщества релокантов осознанно связала своё решение жить в Армении с тем государственным и политическим вектором, который проводится под Вашим руководством. Для нас принципиально важны курс на правовое государство, институциональную предсказуемость, уважение к человеческому достоинству, открытость миру, модернизацию и мирное развитие страны. Мы воспринимаем себя как людей, готовых своим трудом, предпринимательской инициативой, профессиональной деятельностью и будущей гражданской интеграцией укреплять именно этот курс Армении.</w:t>
      </w:r>
    </w:p>
    <w:p>
      <w:pPr/>
      <w:r>
        <w:rPr>
          <w:rFonts w:ascii="Arial" w:hAnsi="Arial" w:eastAsia="Arial" w:cs="Arial"/>
        </w:rPr>
        <w:t>Просим Вас поддержать запуск межведомственного обсуждения пакета, поручить подготовку официальной армяноязычной версии проектов и рассмотреть вопрос о последовательном продвижении одного из предложенных статусов либо их параллельного введения. Считаем, что данный шаг будет одновременно гуманным, государственно выгодным и политически созвучным тому пути развития, который сегодня ассоциируется с современной Арменией.</w:t>
      </w:r>
    </w:p>
    <w:p>
      <w:pPr/>
      <w:r>
        <w:rPr>
          <w:rFonts w:ascii="Arial" w:hAnsi="Arial" w:eastAsia="Arial" w:cs="Arial"/>
        </w:rPr>
        <w:t>С уважением,</w:t>
      </w:r>
    </w:p>
    <w:p>
      <w:pPr/>
      <w:r>
        <w:rPr>
          <w:rFonts w:ascii="Arial" w:hAnsi="Arial" w:eastAsia="Arial" w:cs="Arial"/>
        </w:rPr>
        <w:t>инициаторы и сторонники пакета реформы.</w:t>
      </w:r>
    </w:p>
    <w:p>
      <w:pPr>
        <w:pStyle w:val="Heading1Custom"/>
      </w:pPr>
      <w:r>
        <w:rPr>
          <w:rFonts w:ascii="Arial" w:hAnsi="Arial" w:eastAsia="Arial" w:cs="Arial"/>
        </w:rPr>
        <w:t>6. Короткая сопроводительная формула для e-mail или бумажного письма</w:t>
      </w:r>
    </w:p>
    <w:p>
      <w:pPr/>
      <w:r>
        <w:rPr>
          <w:rFonts w:ascii="Arial" w:hAnsi="Arial" w:eastAsia="Arial" w:cs="Arial"/>
        </w:rPr>
        <w:t>Направляем на рассмотрение пакет правовой инициативы о введении в Республике Армения временного гражданства и специальной гражданской принадлежности для интегрированных релокантов, а также о закреплении конституционной гарантии защиты защищённых категорий лиц. Просим рассмотреть возможность межведомственного обсуждения и создания рабочей группы.</w:t>
      </w:r>
    </w:p>
    <w:p>
      <w:pPr>
        <w:pStyle w:val="Heading1Custom"/>
      </w:pPr>
      <w:r>
        <w:rPr>
          <w:rFonts w:ascii="Arial" w:hAnsi="Arial" w:eastAsia="Arial" w:cs="Arial"/>
        </w:rPr>
        <w:t>7. Тезисы для встреч и выступлений</w:t>
      </w:r>
    </w:p>
    <w:p>
      <w:pPr>
        <w:spacing w:after="60"/>
        <w:ind w:left="340" w:hanging="198"/>
      </w:pPr>
      <w:r>
        <w:rPr>
          <w:rFonts w:ascii="Arial" w:hAnsi="Arial" w:eastAsia="Arial" w:cs="Arial"/>
          <w:b/>
        </w:rPr>
        <w:t xml:space="preserve">• </w:t>
      </w:r>
      <w:r>
        <w:rPr>
          <w:rFonts w:ascii="Arial" w:hAnsi="Arial" w:eastAsia="Arial" w:cs="Arial"/>
        </w:rPr>
        <w:t xml:space="preserve">это </w:t>
      </w:r>
      <w:r>
        <w:rPr>
          <w:rFonts w:ascii="Arial" w:hAnsi="Arial" w:eastAsia="Arial" w:cs="Arial"/>
          <w:b/>
        </w:rPr>
        <w:t>не миграционная уступка</w:t>
      </w:r>
      <w:r>
        <w:rPr>
          <w:rFonts w:ascii="Arial" w:hAnsi="Arial" w:eastAsia="Arial" w:cs="Arial"/>
        </w:rPr>
        <w:t>, а управляемый правовой режим для уже интегрированных и проверенных лиц;</w:t>
      </w:r>
    </w:p>
    <w:p>
      <w:pPr>
        <w:spacing w:after="60"/>
        <w:ind w:left="340" w:hanging="198"/>
      </w:pPr>
      <w:r>
        <w:rPr>
          <w:rFonts w:ascii="Arial" w:hAnsi="Arial" w:eastAsia="Arial" w:cs="Arial"/>
          <w:b/>
        </w:rPr>
        <w:t xml:space="preserve">• </w:t>
      </w:r>
      <w:r>
        <w:rPr>
          <w:rFonts w:ascii="Arial" w:hAnsi="Arial" w:eastAsia="Arial" w:cs="Arial"/>
        </w:rPr>
        <w:t>инициатива не меняет политический баланс, поскольку не даёт права голосовать и участвовать в референдумах;</w:t>
      </w:r>
    </w:p>
    <w:p>
      <w:pPr>
        <w:spacing w:after="60"/>
        <w:ind w:left="340" w:hanging="198"/>
      </w:pPr>
      <w:r>
        <w:rPr>
          <w:rFonts w:ascii="Arial" w:hAnsi="Arial" w:eastAsia="Arial" w:cs="Arial"/>
          <w:b/>
        </w:rPr>
        <w:t xml:space="preserve">• </w:t>
      </w:r>
      <w:r>
        <w:rPr>
          <w:rFonts w:ascii="Arial" w:hAnsi="Arial" w:eastAsia="Arial" w:cs="Arial"/>
        </w:rPr>
        <w:t>для Армении проект выгоден экономически, демографически и репутационно;</w:t>
      </w:r>
    </w:p>
    <w:p>
      <w:pPr>
        <w:spacing w:after="60"/>
        <w:ind w:left="340" w:hanging="198"/>
      </w:pPr>
      <w:r>
        <w:rPr>
          <w:rFonts w:ascii="Arial" w:hAnsi="Arial" w:eastAsia="Arial" w:cs="Arial"/>
        </w:rPr>
        <w:t>• две модели статуса подготовлены так, чтобы государство могло выбрать одну из них либо запустить обе параллельно: как самостоятельные статусы с выбором одного маршрута или как единую двухконтурную реформу;</w:t>
      </w:r>
    </w:p>
    <w:p>
      <w:pPr>
        <w:spacing w:after="60"/>
        <w:ind w:left="340" w:hanging="198"/>
      </w:pPr>
      <w:r>
        <w:rPr>
          <w:rFonts w:ascii="Arial" w:hAnsi="Arial" w:eastAsia="Arial" w:cs="Arial"/>
        </w:rPr>
        <w:t>• усиленная гарантия защиты от выдачи — это вопрос правовой надёжности и доверия к армянской юрисдикции.</w:t>
      </w:r>
    </w:p>
    <w:p>
      <w:pPr>
        <w:pStyle w:val="Heading1Custom"/>
      </w:pPr>
      <w:r>
        <w:rPr>
          <w:rFonts w:ascii="Arial" w:hAnsi="Arial" w:eastAsia="Arial" w:cs="Arial"/>
        </w:rPr>
        <w:t>8. Ответы на ожидаемые вопросы</w:t>
      </w:r>
    </w:p>
    <w:tbl>
      <w:tblPr>
        <w:tblStyle w:val="TableGrid"/>
        <w:tblW w:type="auto" w:w="0"/>
        <w:tblLayout w:type="fixed"/>
        <w:tblLook w:firstColumn="1" w:firstRow="1" w:lastColumn="0" w:lastRow="0" w:noHBand="0" w:noVBand="1" w:val="04A0"/>
        <w:tblCellMar>
          <w:top w:w="85" w:type="dxa"/>
          <w:start w:w="100" w:type="dxa"/>
          <w:bottom w:w="85" w:type="dxa"/>
          <w:end w:w="100" w:type="dxa"/>
        </w:tblCellMar>
        <w:jc w:val="center"/>
        <w:tblBorders>
          <w:top w:val="single" w:sz="5" w:space="0" w:color="C9CED6"/>
          <w:left w:val="single" w:sz="5" w:space="0" w:color="C9CED6"/>
          <w:bottom w:val="single" w:sz="5" w:space="0" w:color="C9CED6"/>
          <w:right w:val="single" w:sz="5" w:space="0" w:color="C9CED6"/>
          <w:insideH w:val="single" w:sz="5" w:space="0" w:color="C9CED6"/>
          <w:insideV w:val="single" w:sz="5" w:space="0" w:color="C9CED6"/>
        </w:tblBorders>
      </w:tblPr>
      <w:tblGrid>
        <w:gridCol w:w="4762"/>
        <w:gridCol w:w="4762"/>
      </w:tblGrid>
      <w:tr>
        <w:tc>
          <w:tcPr>
            <w:tcW w:type="dxa" w:w="3118"/>
            <w:shd w:fill="F5F7FA" w:color="auto" w:val="clear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50" w:before="0" w:line="269" w:lineRule="auto"/>
              <w:jc w:val="center"/>
            </w:pPr>
            <w:r>
              <w:rPr>
                <w:rFonts w:ascii="Arial" w:hAnsi="Arial" w:eastAsia="Arial" w:cs="Arial"/>
                <w:b/>
                <w:color w:val="27303A"/>
                <w:sz w:val="21"/>
              </w:rPr>
              <w:t>Вопрос</w:t>
            </w:r>
          </w:p>
        </w:tc>
        <w:tc>
          <w:tcPr>
            <w:tcW w:type="dxa" w:w="6066"/>
            <w:shd w:fill="ECECEC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50" w:before="0" w:line="269" w:lineRule="auto"/>
              <w:jc w:val="center"/>
            </w:pPr>
            <w:r>
              <w:rPr>
                <w:rFonts w:ascii="Arial" w:hAnsi="Arial" w:eastAsia="Arial" w:cs="Arial"/>
                <w:b/>
              </w:rPr>
              <w:t>Краткий ответ</w:t>
            </w:r>
          </w:p>
        </w:tc>
      </w:tr>
      <w:tr>
        <w:tc>
          <w:tcPr>
            <w:tcW w:type="dxa" w:w="3118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</w:rPr>
              <w:t>Почему не ограничиться обычным видом проживания?</w:t>
            </w:r>
          </w:p>
        </w:tc>
        <w:tc>
          <w:tcPr>
            <w:tcW w:type="dxa" w:w="6066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</w:rPr>
              <w:t>Потому что обычное проживание не даёт той прочности и символической государственной защиты, которая нужна для решения проблемы правовой уязвимости.</w:t>
            </w:r>
          </w:p>
        </w:tc>
      </w:tr>
      <w:tr>
        <w:tc>
          <w:tcPr>
            <w:tcW w:type="dxa" w:w="3118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  <w:tcMar>
              <w:top w:w="90" w:type="dxa"/>
              <w:left w:w="90" w:type="dxa"/>
              <w:bottom w:w="90" w:type="dxa"/>
              <w:right w:w="90" w:type="dxa"/>
            </w:tcMar>
            <w:shd w:fill="F5F7FA" w:color="auto" w:val="clear"/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/>
                <w:color w:val="27303A"/>
                <w:sz w:val="21"/>
              </w:rPr>
              <w:t>Почему нужны сразу две модели?</w:t>
            </w:r>
          </w:p>
        </w:tc>
        <w:tc>
          <w:tcPr>
            <w:tcW w:type="dxa" w:w="6066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</w:rPr>
              <w:t>Чтобы у государства был выбор: временное гражданство как амбициозная модель и гражданская принадлежность как более гибкая резервная модель.</w:t>
            </w:r>
          </w:p>
        </w:tc>
      </w:tr>
      <w:tr>
        <w:tc>
          <w:tcPr>
            <w:tcW w:type="dxa" w:w="3118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</w:rPr>
              <w:t>Не приведёт ли это к вмешательству в политику?</w:t>
            </w:r>
          </w:p>
        </w:tc>
        <w:tc>
          <w:tcPr>
            <w:tcW w:type="dxa" w:w="6066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</w:rPr>
              <w:t>Нет, поскольку проекты прямо исключают участие в выборах и референдумах.</w:t>
            </w:r>
          </w:p>
        </w:tc>
      </w:tr>
      <w:tr>
        <w:tc>
          <w:tcPr>
            <w:tcW w:type="dxa" w:w="3118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</w:rPr>
              <w:t>Может ли Армения заменить человеку паспорт его страны?</w:t>
            </w:r>
          </w:p>
        </w:tc>
        <w:tc>
          <w:tcPr>
            <w:tcW w:type="dxa" w:w="6066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</w:rPr>
              <w:t>Нет. Армения может выдать собственный документ статуса и гарантировать возвращение в Армению, но не может заставить третьи государства признать этот документ вместо национального паспорта.</w:t>
            </w:r>
          </w:p>
        </w:tc>
      </w:tr>
      <w:tr>
        <w:tc>
          <w:tcPr>
            <w:tcW w:type="dxa" w:w="3118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  <w:tcMar>
              <w:top w:w="90" w:type="dxa"/>
              <w:left w:w="90" w:type="dxa"/>
              <w:bottom w:w="90" w:type="dxa"/>
              <w:right w:w="90" w:type="dxa"/>
            </w:tcMar>
            <w:shd w:fill="F5F7FA" w:color="auto" w:val="clear"/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/>
                <w:color w:val="27303A"/>
                <w:sz w:val="21"/>
              </w:rPr>
              <w:t>Зачем нужен конституционный пакет?</w:t>
            </w:r>
          </w:p>
        </w:tc>
        <w:tc>
          <w:tcPr>
            <w:tcW w:type="dxa" w:w="6066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</w:rPr>
              <w:t>Без него нельзя надёжно закрепить абсолютный запрет выдачи и снизить риск конституционного конфликта по самой модели статуса.</w:t>
            </w:r>
          </w:p>
        </w:tc>
      </w:tr>
    </w:tbl>
    <w:p/>
    <w:p>
      <w:pPr>
        <w:pStyle w:val="Heading1Custom"/>
      </w:pPr>
      <w:r>
        <w:rPr>
          <w:rFonts w:ascii="Arial" w:hAnsi="Arial" w:eastAsia="Arial" w:cs="Arial"/>
        </w:rPr>
        <w:t>9. Рекомендуемые приложения к письмам и обращениям</w:t>
      </w:r>
    </w:p>
    <w:p>
      <w:pPr>
        <w:spacing w:after="60"/>
        <w:ind w:left="340" w:hanging="198"/>
      </w:pPr>
      <w:r>
        <w:rPr>
          <w:rFonts w:ascii="Arial" w:hAnsi="Arial" w:eastAsia="Arial" w:cs="Arial"/>
          <w:b/>
        </w:rPr>
        <w:t xml:space="preserve">• </w:t>
      </w:r>
      <w:r>
        <w:rPr>
          <w:rFonts w:ascii="Arial" w:hAnsi="Arial" w:eastAsia="Arial" w:cs="Arial"/>
        </w:rPr>
        <w:t>исполнительное резюме на 1–2 страницы;</w:t>
      </w:r>
    </w:p>
    <w:p>
      <w:pPr>
        <w:spacing w:after="60"/>
        <w:ind w:left="340" w:hanging="198"/>
      </w:pPr>
      <w:r>
        <w:rPr>
          <w:rFonts w:ascii="Arial" w:hAnsi="Arial" w:eastAsia="Arial" w:cs="Arial"/>
          <w:b/>
        </w:rPr>
        <w:t xml:space="preserve">• </w:t>
      </w:r>
      <w:r>
        <w:rPr>
          <w:rFonts w:ascii="Arial" w:hAnsi="Arial" w:eastAsia="Arial" w:cs="Arial"/>
        </w:rPr>
        <w:t>реестр самостоятельных пакетов;</w:t>
      </w:r>
    </w:p>
    <w:p>
      <w:pPr>
        <w:spacing w:after="60"/>
        <w:ind w:left="340" w:hanging="198"/>
      </w:pPr>
      <w:r>
        <w:rPr>
          <w:rFonts w:ascii="Arial" w:hAnsi="Arial" w:eastAsia="Arial" w:cs="Arial"/>
          <w:b/>
        </w:rPr>
        <w:t xml:space="preserve">• </w:t>
      </w:r>
      <w:r>
        <w:rPr>
          <w:rFonts w:ascii="Arial" w:hAnsi="Arial" w:eastAsia="Arial" w:cs="Arial"/>
        </w:rPr>
        <w:t>конституционный пакет;</w:t>
      </w:r>
    </w:p>
    <w:p>
      <w:pPr>
        <w:spacing w:after="60"/>
        <w:ind w:left="340" w:hanging="198"/>
      </w:pPr>
      <w:r>
        <w:rPr>
          <w:rFonts w:ascii="Arial" w:hAnsi="Arial" w:eastAsia="Arial" w:cs="Arial"/>
          <w:b/>
        </w:rPr>
        <w:t xml:space="preserve">• </w:t>
      </w:r>
      <w:r>
        <w:rPr>
          <w:rFonts w:ascii="Arial" w:hAnsi="Arial" w:eastAsia="Arial" w:cs="Arial"/>
        </w:rPr>
        <w:t>законодательные пакеты по двум статусам;</w:t>
      </w:r>
    </w:p>
    <w:p>
      <w:pPr>
        <w:spacing w:after="60"/>
        <w:ind w:left="340" w:hanging="198"/>
      </w:pPr>
      <w:r>
        <w:rPr>
          <w:rFonts w:ascii="Arial" w:hAnsi="Arial" w:eastAsia="Arial" w:cs="Arial"/>
          <w:b/>
        </w:rPr>
        <w:t xml:space="preserve">• </w:t>
      </w:r>
      <w:r>
        <w:rPr>
          <w:rFonts w:ascii="Arial" w:hAnsi="Arial" w:eastAsia="Arial" w:cs="Arial"/>
        </w:rPr>
        <w:t>пакет НКО;</w:t>
      </w:r>
    </w:p>
    <w:p>
      <w:pPr>
        <w:spacing w:after="60"/>
        <w:ind w:left="340" w:hanging="198"/>
      </w:pPr>
      <w:r>
        <w:rPr>
          <w:rFonts w:ascii="Arial" w:hAnsi="Arial" w:eastAsia="Arial" w:cs="Arial"/>
          <w:b/>
        </w:rPr>
        <w:t xml:space="preserve">• </w:t>
      </w:r>
      <w:r>
        <w:rPr>
          <w:rFonts w:ascii="Arial" w:hAnsi="Arial" w:eastAsia="Arial" w:cs="Arial"/>
        </w:rPr>
        <w:t>лист официальных правовых опор.</w:t>
      </w:r>
    </w:p>
    <w:p>
      <w:pPr>
        <w:pStyle w:val="QuoteBox"/>
        <w:shd w:fill="F6F7F9" w:val="clear" w:color="auto"/>
        <w:pBdr>
          <w:left w:val="single" w:sz="10" w:space="6" w:color="C9D0DA"/>
        </w:pBdr>
      </w:pPr>
      <w:r>
        <w:rPr>
          <w:rFonts w:ascii="Arial" w:hAnsi="Arial" w:eastAsia="Arial" w:cs="Arial"/>
          <w:b/>
        </w:rPr>
        <w:t xml:space="preserve">Базовые официальные опоры пакета: </w:t>
      </w:r>
      <w:r>
        <w:rPr>
          <w:rFonts w:ascii="Arial" w:hAnsi="Arial" w:eastAsia="Arial" w:cs="Arial"/>
        </w:rPr>
        <w:t>Конституция Республики Армения (ARLIS, статьи 40, 47, 48, 55, 202); Закон Республики Армения «О гражданстве Республики Армения» (ARLIS, статьи 5, 9, 13, 26); Официальная страница МИД Армении о гражданстве; Официальная страница МИД Армении о special residency status; Официальная страница Правительства Республики Армения о структуре Правительства; Официальная страница Президента Республики Армения</w:t>
      </w:r>
    </w:p>
    <w:p>
      <w:pPr>
        <w:pStyle w:val="Heading1Custom"/>
      </w:pPr>
      <w:r>
        <w:rPr>
          <w:rFonts w:ascii="Arial" w:hAnsi="Arial" w:eastAsia="Arial" w:cs="Arial"/>
        </w:rPr>
        <w:t>10. Что именно получает Армения от корректно оформленного пакета обращений</w:t>
      </w:r>
    </w:p>
    <w:p>
      <w:pPr/>
      <w:r>
        <w:rPr>
          <w:rFonts w:ascii="Arial" w:hAnsi="Arial" w:eastAsia="Arial" w:cs="Arial"/>
        </w:rPr>
        <w:t>• для адресата обращения заранее и ясно разложено, какую экономическую, демографическую, правовую и политическую пользу получает Армения;</w:t>
      </w:r>
    </w:p>
    <w:p>
      <w:pPr/>
      <w:r>
        <w:rPr>
          <w:rFonts w:ascii="Arial" w:hAnsi="Arial" w:eastAsia="Arial" w:cs="Arial"/>
        </w:rPr>
        <w:t>• появляется готовый язык для переговоров с Правительством, Национальным Собранием, Администрацией Президента и медиа без разрыва между юридическим проектом и публичной кампанией;</w:t>
      </w:r>
    </w:p>
    <w:p>
      <w:pPr/>
      <w:r>
        <w:rPr>
          <w:rFonts w:ascii="Arial" w:hAnsi="Arial" w:eastAsia="Arial" w:cs="Arial"/>
        </w:rPr>
        <w:t>• открытое письмо и официальное обращение начинают работать как инструменты формирования общественного и политического мандата на реформу.</w:t>
      </w:r>
    </w:p>
    <w:p>
      <w:pPr>
        <w:pStyle w:val="Heading1Custom"/>
      </w:pPr>
      <w:r>
        <w:rPr>
          <w:rFonts w:ascii="Arial" w:hAnsi="Arial" w:eastAsia="Arial" w:cs="Arial"/>
        </w:rPr>
        <w:t>11. Временное гражданство и гражданская принадлежность: выбор одного статуса или параллельный запуск</w:t>
      </w:r>
    </w:p>
    <w:p>
      <w:pPr/>
      <w:r>
        <w:rPr>
          <w:rFonts w:ascii="Arial" w:hAnsi="Arial" w:eastAsia="Arial" w:cs="Arial"/>
        </w:rPr>
        <w:t>1. модель выбора одного статуса: государство вправе рассмотреть временное гражданство и гражданскую принадлежность как два самостоятельных проекта и принять только один из них;</w:t>
      </w:r>
    </w:p>
    <w:p>
      <w:pPr/>
      <w:r>
        <w:rPr>
          <w:rFonts w:ascii="Arial" w:hAnsi="Arial" w:eastAsia="Arial" w:cs="Arial"/>
        </w:rPr>
        <w:t>2. модель параллельного запуска: государство вправе одновременно принять оба статуса и предоставить заявителю или уполномоченному органу выбор наилучшего маршрута в зависимости от степени интеграции, семейной ситуации и публичного интереса;</w:t>
      </w:r>
    </w:p>
    <w:p>
      <w:pPr/>
      <w:r>
        <w:rPr>
          <w:rFonts w:ascii="Arial" w:hAnsi="Arial" w:eastAsia="Arial" w:cs="Arial"/>
        </w:rPr>
        <w:t>3. модель поэтапного введения: гражданская принадлежность запускается первой как более быстрый законодательный трек, а временное гражданство вводится после прохождения конституционного маршрута;</w:t>
      </w:r>
    </w:p>
    <w:p>
      <w:pPr/>
      <w:r>
        <w:rPr>
          <w:rFonts w:ascii="Arial" w:hAnsi="Arial" w:eastAsia="Arial" w:cs="Arial"/>
        </w:rPr>
        <w:t>4. в нормативных текстах целесообразно прямо закрепить, что наличие гражданской принадлежности не препятствует последующему обращению за временным гражданством или полным гражданством, если лицо соответствует установленным законом критериям.</w:t>
      </w:r>
    </w:p>
    <w:p>
      <w:pPr>
        <w:pStyle w:val="Heading1Custom"/>
      </w:pPr>
      <w:r>
        <w:rPr>
          <w:rFonts w:ascii="Arial" w:hAnsi="Arial" w:eastAsia="Arial" w:cs="Arial"/>
        </w:rPr>
        <w:t>12. Раздел общественной поддержки реформы и личной поддержки Премьер-министра Республики Армения</w:t>
      </w:r>
    </w:p>
    <w:p>
      <w:pPr/>
      <w:r>
        <w:rPr>
          <w:rFonts w:ascii="Arial" w:hAnsi="Arial" w:eastAsia="Arial" w:cs="Arial"/>
        </w:rPr>
        <w:t>Сообщество релокантов, поддерживающее реформу, выражает личную политическую поддержку Премьер-министру Республики Армения Николу Пашиняну как руководителю, при котором Армения сохранила открытость к реформам, институциональному диалогу и правовой интеграции новых жителей.</w:t>
      </w:r>
    </w:p>
    <w:p>
      <w:pPr/>
      <w:r>
        <w:rPr>
          <w:rFonts w:ascii="Arial" w:hAnsi="Arial" w:eastAsia="Arial" w:cs="Arial"/>
        </w:rPr>
        <w:t>Сообщество заявляет о желании двигаться вместе с Николом Пашиняном и его политической командой в следующих электоральных циклах и связывать с этим курсом своё долгосрочное будущее в Армении. До приобретения предусмотренных законом избирательных прав такая поддержка выражается в общественной, экспертной, публичной и организационной плоскости; после получения соответствующего статуса и прав — также в политическом процессе в пределах, допускаемых Конституцией и законами Республики Армения.</w:t>
      </w:r>
    </w:p>
    <w:p>
      <w:pPr>
        <w:pStyle w:val="QuoteBox"/>
        <w:shd w:fill="F6F7F9" w:val="clear" w:color="auto"/>
        <w:pBdr>
          <w:left w:val="single" w:sz="10" w:space="6" w:color="C9D0DA"/>
        </w:pBdr>
      </w:pPr>
      <w:r>
        <w:rPr>
          <w:rFonts w:ascii="Arial" w:hAnsi="Arial" w:eastAsia="Arial" w:cs="Arial"/>
        </w:rPr>
        <w:t>Готовая формула для публичного использования: «Сообщество релокантов поддерживает Премьер-министра Никола Пашиняна и его реформаторский курс, связывает своё долгосрочное будущее с Арменией и по мере получения предусмотренных законом прав готово двигаться вместе с ним и его командой в будущих выборах».</w:t>
      </w:r>
    </w:p>
    <w:sectPr w:rsidR="00FC693F" w:rsidRPr="0006063C" w:rsidSect="00034616">
      <w:footerReference w:type="default" r:id="rId9"/>
      <w:headerReference w:type="default" r:id="rId10"/>
      <w:pgSz w:w="11906" w:h="16838"/>
      <w:pgMar w:top="907" w:right="1020" w:bottom="907" w:left="1020" w:header="454" w:footer="403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spacing w:before="80" w:after="0" w:line="240" w:lineRule="auto"/>
      <w:jc w:val="center"/>
      <w:pBdr>
        <w:top w:val="single" w:sz="8" w:space="6" w:color="D4DAE3"/>
      </w:pBdr>
    </w:pPr>
    <w:r>
      <w:rPr>
        <w:rFonts w:ascii="Arial" w:hAnsi="Arial" w:eastAsia="Arial" w:cs="Arial"/>
        <w:color w:val="7B8694"/>
        <w:sz w:val="18"/>
      </w:rPr>
      <w:t>Полный пакет документов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10" w:line="276" w:lineRule="auto" w:before="0"/>
    </w:pPr>
    <w:rPr>
      <w:rFonts w:ascii="Arial" w:hAnsi="Arial" w:eastAsia="Arial" w:cs="Arial"/>
      <w:color w:val="222B36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320" w:after="140"/>
      <w:outlineLvl w:val="0"/>
    </w:pPr>
    <w:rPr>
      <w:rFonts w:asciiTheme="majorHAnsi" w:eastAsiaTheme="majorEastAsia" w:hAnsiTheme="majorHAnsi" w:cstheme="majorBidi" w:ascii="Arial" w:hAnsi="Arial" w:eastAsia="Arial" w:cs="Arial"/>
      <w:b/>
      <w:bCs/>
      <w:color w:val="163F6D"/>
      <w:sz w:val="3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40" w:after="100"/>
      <w:outlineLvl w:val="1"/>
    </w:pPr>
    <w:rPr>
      <w:rFonts w:asciiTheme="majorHAnsi" w:eastAsiaTheme="majorEastAsia" w:hAnsiTheme="majorHAnsi" w:cstheme="majorBidi" w:ascii="Arial" w:hAnsi="Arial" w:eastAsia="Arial" w:cs="Arial"/>
      <w:b/>
      <w:bCs/>
      <w:color w:val="4F81BD" w:themeColor="accent1"/>
      <w:sz w:val="25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100"/>
      <w:outlineLvl w:val="2"/>
    </w:pPr>
    <w:rPr>
      <w:rFonts w:asciiTheme="majorHAnsi" w:eastAsiaTheme="majorEastAsia" w:hAnsiTheme="majorHAnsi" w:cstheme="majorBidi" w:ascii="Arial" w:hAnsi="Arial" w:eastAsia="Arial" w:cs="Arial"/>
      <w:b/>
      <w:bCs/>
      <w:color w:val="4F81BD" w:themeColor="accent1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240" w:line="252" w:lineRule="auto" w:before="0"/>
      <w:contextualSpacing/>
    </w:pPr>
    <w:rPr>
      <w:rFonts w:asciiTheme="majorHAnsi" w:eastAsiaTheme="majorEastAsia" w:hAnsiTheme="majorHAnsi" w:cstheme="majorBidi" w:ascii="Arial" w:hAnsi="Arial" w:eastAsia="Arial" w:cs="Arial"/>
      <w:b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  <w:spacing w:before="0" w:after="360"/>
    </w:pPr>
    <w:rPr>
      <w:rFonts w:asciiTheme="majorHAnsi" w:eastAsiaTheme="majorEastAsia" w:hAnsiTheme="majorHAnsi" w:cstheme="majorBidi" w:ascii="Arial" w:hAnsi="Arial" w:eastAsia="Arial" w:cs="Arial"/>
      <w:i/>
      <w:iCs/>
      <w:color w:val="4F81BD" w:themeColor="accent1"/>
      <w:spacing w:val="15"/>
      <w:sz w:val="21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line="269" w:lineRule="auto" w:before="0" w:after="100"/>
      <w:ind w:left="720"/>
      <w:contextualSpacing/>
    </w:pPr>
    <w:rPr>
      <w:rFonts w:ascii="Arial" w:hAnsi="Arial" w:eastAsia="Arial" w:cs="Arial"/>
      <w:sz w:val="21"/>
    </w:r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spacing w:line="276" w:lineRule="auto" w:before="0" w:after="90"/>
      <w:contextualSpacing/>
    </w:pPr>
    <w:rPr>
      <w:rFonts w:ascii="Arial" w:hAnsi="Arial" w:eastAsia="Arial" w:cs="Arial"/>
      <w:color w:val="222B36"/>
      <w:sz w:val="22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spacing w:line="276" w:lineRule="auto" w:before="0" w:after="90"/>
      <w:contextualSpacing/>
    </w:pPr>
    <w:rPr>
      <w:rFonts w:ascii="Arial" w:hAnsi="Arial" w:eastAsia="Arial" w:cs="Arial"/>
      <w:color w:val="222B36"/>
      <w:sz w:val="22"/>
    </w:r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TitleCustom">
    <w:name w:val="TitleCustom"/>
    <w:basedOn w:val="Normal"/>
    <w:pPr>
      <w:keepNext/>
      <w:spacing w:after="220" w:line="247" w:lineRule="auto" w:before="0"/>
      <w:jc w:val="center"/>
    </w:pPr>
    <w:rPr>
      <w:rFonts w:ascii="Times New Roman" w:hAnsi="Times New Roman" w:eastAsia="Times New Roman" w:cs="Times New Roman"/>
      <w:b/>
      <w:color w:val="7A1F2A"/>
      <w:sz w:val="50"/>
    </w:rPr>
  </w:style>
  <w:style w:type="paragraph" w:customStyle="1" w:styleId="SubtitleCustom">
    <w:name w:val="SubtitleCustom"/>
    <w:basedOn w:val="Normal"/>
    <w:pPr>
      <w:keepNext/>
      <w:spacing w:after="240" w:before="0" w:line="259" w:lineRule="auto"/>
      <w:jc w:val="center"/>
    </w:pPr>
    <w:rPr>
      <w:rFonts w:ascii="Times New Roman" w:hAnsi="Times New Roman" w:eastAsia="Times New Roman" w:cs="Times New Roman"/>
      <w:i/>
      <w:color w:val="5A5E66"/>
      <w:sz w:val="26"/>
    </w:rPr>
  </w:style>
  <w:style w:type="paragraph" w:customStyle="1" w:styleId="Heading1Custom">
    <w:name w:val="Heading1Custom"/>
    <w:basedOn w:val="Normal"/>
    <w:pPr>
      <w:keepNext/>
      <w:spacing w:before="320" w:after="140"/>
    </w:pPr>
    <w:rPr>
      <w:rFonts w:ascii="Arial" w:hAnsi="Arial" w:eastAsia="Arial" w:cs="Arial"/>
      <w:b/>
      <w:color w:val="7A1F2A"/>
      <w:sz w:val="38"/>
    </w:rPr>
  </w:style>
  <w:style w:type="paragraph" w:customStyle="1" w:styleId="Heading2Custom">
    <w:name w:val="Heading2Custom"/>
    <w:basedOn w:val="Normal"/>
    <w:pPr>
      <w:keepNext/>
      <w:spacing w:before="260" w:after="120"/>
    </w:pPr>
    <w:rPr>
      <w:rFonts w:ascii="Arial" w:hAnsi="Arial" w:eastAsia="Arial" w:cs="Arial"/>
      <w:b/>
      <w:color w:val="254F73"/>
      <w:sz w:val="28"/>
    </w:rPr>
  </w:style>
  <w:style w:type="paragraph" w:customStyle="1" w:styleId="SmallGray">
    <w:name w:val="SmallGray"/>
    <w:basedOn w:val="Normal"/>
    <w:pPr>
      <w:keepNext/>
      <w:spacing w:after="140" w:before="0" w:line="240" w:lineRule="auto"/>
      <w:jc w:val="center"/>
    </w:pPr>
    <w:rPr>
      <w:rFonts w:ascii="Arial" w:hAnsi="Arial" w:eastAsia="Arial" w:cs="Arial"/>
      <w:color w:val="6C7178"/>
      <w:sz w:val="21"/>
    </w:rPr>
  </w:style>
  <w:style w:type="paragraph" w:customStyle="1" w:styleId="QuoteBox">
    <w:name w:val="QuoteBox"/>
    <w:basedOn w:val="Normal"/>
    <w:pPr>
      <w:spacing w:after="180" w:before="160" w:line="276" w:lineRule="auto"/>
      <w:ind w:left="216" w:right="72"/>
    </w:pPr>
    <w:rPr>
      <w:rFonts w:ascii="Arial" w:hAnsi="Arial" w:eastAsia="Arial" w:cs="Arial"/>
      <w:color w:val="202834"/>
      <w:sz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