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CellMar>
          <w:top w:w="0" w:type="dxa"/>
          <w:start w:w="0" w:type="dxa"/>
          <w:bottom w:w="0" w:type="dxa"/>
          <w:end w:w="0" w:type="dxa"/>
        </w:tblCellMar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</w:tblPr>
      <w:tblGrid>
        <w:gridCol w:w="3175"/>
        <w:gridCol w:w="3175"/>
        <w:gridCol w:w="3175"/>
      </w:tblGrid>
      <w:tr>
        <w:tc>
          <w:tcPr>
            <w:tcW w:type="dxa" w:w="3175"/>
            <w:shd w:fill="D90012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  <w:tc>
          <w:tcPr>
            <w:tcW w:type="dxa" w:w="3175"/>
            <w:shd w:fill="0033A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  <w:tc>
          <w:tcPr>
            <w:tcW w:type="dxa" w:w="3175"/>
            <w:shd w:fill="F2A80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</w:tr>
    </w:tbl>
    <w:p/>
    <w:p>
      <w:pPr>
        <w:pStyle w:val="SmallGray"/>
        <w:jc w:val="center"/>
      </w:pPr>
      <w:r>
        <w:rPr>
          <w:rFonts w:ascii="Arial" w:hAnsi="Arial" w:eastAsia="Arial" w:cs="Arial"/>
        </w:rPr>
        <w:t>ПАКЕТ 01 • РАБОЧАЯ РУССКОЯЗЫЧНАЯ РЕДАКЦИЯ ДЛЯ ГОСУДАРСТВЕННОГО ПРЕДСТАВЛЕНИЯ</w:t>
      </w:r>
    </w:p>
    <w:p>
      <w:pPr>
        <w:pStyle w:val="TitleCustom"/>
        <w:jc w:val="center"/>
      </w:pPr>
      <w:r>
        <w:rPr>
          <w:rFonts w:ascii="Arial" w:hAnsi="Arial" w:eastAsia="Arial" w:cs="Arial"/>
        </w:rPr>
        <w:t>Реестр отдельных пакетов документов</w:t>
      </w:r>
    </w:p>
    <w:p>
      <w:pPr>
        <w:pStyle w:val="SubtitleCustom"/>
        <w:jc w:val="center"/>
      </w:pPr>
      <w:r>
        <w:rPr>
          <w:rFonts w:ascii="Arial" w:hAnsi="Arial" w:eastAsia="Arial" w:cs="Arial"/>
        </w:rPr>
        <w:t>Комплект самостоятельных пакетов для представления инициативы о временном гражданстве, специальной гражданской принадлежности, невыдаче и НКО релокантов в Республике Армения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6" w:space="0" w:color="BCC4CE"/>
          <w:left w:val="single" w:sz="6" w:space="0" w:color="BCC4CE"/>
          <w:bottom w:val="single" w:sz="6" w:space="0" w:color="BCC4CE"/>
          <w:right w:val="single" w:sz="6" w:space="0" w:color="BCC4CE"/>
          <w:insideH w:val="single" w:sz="6" w:space="0" w:color="BCC4CE"/>
          <w:insideV w:val="single" w:sz="6" w:space="0" w:color="BCC4CE"/>
        </w:tblBorders>
      </w:tblPr>
      <w:tblGrid>
        <w:gridCol w:w="2268"/>
        <w:gridCol w:w="6520"/>
      </w:tblGrid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1ECE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2"/>
              </w:rPr>
              <w:t>Дата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2"/>
              </w:rPr>
              <w:t>28 марта 2026 года</w:t>
            </w:r>
          </w:p>
        </w:tc>
      </w:tr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1ECE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2"/>
              </w:rPr>
              <w:t>Статус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2"/>
              </w:rPr>
              <w:t>Подготовленный рабочий пакет для государственной презентации, подачи и последующей армяноязычной юридико-технической адаптации</w:t>
            </w:r>
          </w:p>
        </w:tc>
      </w:tr>
    </w:tbl>
    <w:p/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  <w:b/>
        </w:rPr>
        <w:t xml:space="preserve">Примечание. </w:t>
      </w:r>
      <w:r>
        <w:rPr>
          <w:rFonts w:ascii="Arial" w:hAnsi="Arial" w:eastAsia="Arial" w:cs="Arial"/>
        </w:rPr>
        <w:t>Все проекты составлены на русском языке как рабочая версия для государственной презентации. Для официального внесения в органы Республики Армения требуется параллельная армяноязычная юридико-техническая редакция и финальная сверка с актуальными редакциями актов в ARLIS.</w:t>
      </w:r>
    </w:p>
    <w:p>
      <w:r>
        <w:rPr>
          <w:rFonts w:ascii="Arial" w:hAnsi="Arial" w:eastAsia="Arial" w:cs="Arial"/>
        </w:rPr>
        <w:br w:type="page"/>
      </w:r>
    </w:p>
    <w:p>
      <w:pPr>
        <w:pStyle w:val="Heading1Custom"/>
      </w:pPr>
      <w:r>
        <w:rPr>
          <w:rFonts w:ascii="Arial" w:hAnsi="Arial" w:eastAsia="Arial" w:cs="Arial"/>
        </w:rPr>
        <w:t>1. Назначение реестра</w:t>
      </w:r>
    </w:p>
    <w:p>
      <w:pPr/>
      <w:r>
        <w:rPr>
          <w:rFonts w:ascii="Arial" w:hAnsi="Arial" w:eastAsia="Arial" w:cs="Arial"/>
        </w:rPr>
        <w:t>Настоящий реестр сводит в единую систему все самостоятельные пакеты документов, подготовленные для государственной презентации инициативы. Он нужен для того, чтобы каждое направление работы можно было подавать, обсуждать и дорабатывать отдельно: конституционный блок, закон о временном гражданстве, самостоятельный закон о специальной гражданской принадлежности, НКО-пакет и пакет официальных обращений.</w:t>
      </w:r>
    </w:p>
    <w:p>
      <w:pPr/>
      <w:r>
        <w:rPr>
          <w:rFonts w:ascii="Arial" w:hAnsi="Arial" w:eastAsia="Arial" w:cs="Arial"/>
        </w:rPr>
        <w:t xml:space="preserve">Ключевой принцип сборки пакетов — </w:t>
      </w:r>
      <w:r>
        <w:rPr>
          <w:rFonts w:ascii="Arial" w:hAnsi="Arial" w:eastAsia="Arial" w:cs="Arial"/>
          <w:b/>
        </w:rPr>
        <w:t>каждый пакет должен быть самодостаточным</w:t>
      </w:r>
      <w:r>
        <w:rPr>
          <w:rFonts w:ascii="Arial" w:hAnsi="Arial" w:eastAsia="Arial" w:cs="Arial"/>
        </w:rPr>
        <w:t>. Внутри каждого документа уже встроены не только проекты актов, но и сопровождающие материалы: цели, мотивы, преимущества, ожидаемый эффект, риски, правовые оговорки, предложения по сопутствующим изменениям и перечень приложений.</w:t>
      </w:r>
    </w:p>
    <w:p>
      <w:pPr>
        <w:pStyle w:val="Heading1Custom"/>
      </w:pPr>
      <w:r>
        <w:rPr>
          <w:rFonts w:ascii="Arial" w:hAnsi="Arial" w:eastAsia="Arial" w:cs="Arial"/>
        </w:rPr>
        <w:t>2. Карта самостоятельных пакетов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3175"/>
        <w:gridCol w:w="3175"/>
        <w:gridCol w:w="3175"/>
      </w:tblGrid>
      <w:tr>
        <w:tc>
          <w:tcPr>
            <w:tcW w:type="dxa" w:w="737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№</w:t>
            </w:r>
          </w:p>
        </w:tc>
        <w:tc>
          <w:tcPr>
            <w:tcW w:type="dxa" w:w="3345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Пакет</w:t>
            </w:r>
          </w:p>
        </w:tc>
        <w:tc>
          <w:tcPr>
            <w:tcW w:type="dxa" w:w="5159"/>
            <w:shd w:fill="E9E3DC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1F2430"/>
                <w:sz w:val="22"/>
              </w:rPr>
              <w:t>Содержание и назначение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01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Реестр и карта пакетов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Общая карта реформы, очередность внесения, перечень всех комплектов и общие правовые оговорки.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02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Конституционный пакет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Поправки в Конституцию для временного гражданства, специальной гражданской принадлежности и абсолютного запрета выдачи.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03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Пакет по временному гражданству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Проект закона, сопутствующие поправки, мотивы, преимущества, риски и модель администрирования.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04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Пакет по специальной гражданской принадлежности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Гражданскую принадлежность, максимально приближенный к гражданству по правам, с отдельным нормативным решением.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05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Пакет НКО релокантов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Концепция, миссия, цели, проект устава, модель управления, программа работы и регистрационный чек-лист.</w:t>
            </w:r>
          </w:p>
        </w:tc>
      </w:tr>
      <w:tr>
        <w:tc>
          <w:tcPr>
            <w:tcW w:type="dxa" w:w="737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color w:val="222B36"/>
                <w:sz w:val="21"/>
              </w:rPr>
              <w:t>06</w:t>
            </w:r>
          </w:p>
        </w:tc>
        <w:tc>
          <w:tcPr>
            <w:tcW w:type="dxa" w:w="334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Пакет государственных обращений и публичной кампании</w:t>
            </w:r>
          </w:p>
        </w:tc>
        <w:tc>
          <w:tcPr>
            <w:tcW w:type="dxa" w:w="515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1"/>
              </w:rPr>
              <w:t>Официальное обращение, открытое письмо, исполнительное резюме, формулы презентации и комплект приложений.</w:t>
            </w:r>
          </w:p>
        </w:tc>
      </w:tr>
    </w:tbl>
    <w:p/>
    <w:p>
      <w:pPr>
        <w:pStyle w:val="Heading1Custom"/>
      </w:pPr>
      <w:r>
        <w:rPr>
          <w:rFonts w:ascii="Arial" w:hAnsi="Arial" w:eastAsia="Arial" w:cs="Arial"/>
        </w:rPr>
        <w:t>3. Общая логика реформы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Основная модель 1 — временное гражданство.</w:t>
      </w:r>
      <w:r>
        <w:rPr>
          <w:rFonts w:ascii="Arial" w:hAnsi="Arial" w:eastAsia="Arial" w:cs="Arial"/>
        </w:rPr>
        <w:t xml:space="preserve"> После не менее чем шести месяцев законного проживания лицо получает временное гражданство сроком на три года, сохраняет связь со своим государством происхождения и в течение этого периода вправе обратиться за полным гражданством Армении.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Основная модель 2 — специальная гражданская принадлежность. Это самостоятельный и более гибкий статус гражданской принадлежности, максимально приближенный к гражданству по объёму повседневных прав, но конструктивно отделённый от полного гражданства.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Сквозная конституционная гарантия — невыдача.</w:t>
      </w:r>
      <w:r>
        <w:rPr>
          <w:rFonts w:ascii="Arial" w:hAnsi="Arial" w:eastAsia="Arial" w:cs="Arial"/>
        </w:rPr>
        <w:t xml:space="preserve"> Предлагается закрепить абсолютный запрет выдачи граждан, временных граждан и лиц со специальной гражданской принадлежностью иностранным государствам, включая Российскую Федерацию.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Институциональная опора — НКО релокантов.</w:t>
      </w:r>
      <w:r>
        <w:rPr>
          <w:rFonts w:ascii="Arial" w:hAnsi="Arial" w:eastAsia="Arial" w:cs="Arial"/>
        </w:rPr>
        <w:t xml:space="preserve"> Нужна отдельная некоммерческая структура, которая будет выступать заявителем, координатором экспертизы, коммуникационным центром и площадкой сопровождения бенефициаров.</w:t>
      </w:r>
    </w:p>
    <w:p>
      <w:pPr>
        <w:pStyle w:val="Heading1Custom"/>
      </w:pPr>
      <w:r>
        <w:rPr>
          <w:rFonts w:ascii="Arial" w:hAnsi="Arial" w:eastAsia="Arial" w:cs="Arial"/>
        </w:rPr>
        <w:t>4. Зачем нужны два статуса одновременно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Временное гражданство отвечает исходной политической идее заказчика: максимально близкий к гражданству статус с трёхлетним горизонтом и правом перехода к полному гражданству.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 xml:space="preserve">Специальная гражданская принадлежность создаёт </w:t>
      </w:r>
      <w:r>
        <w:rPr>
          <w:rFonts w:ascii="Arial" w:hAnsi="Arial" w:eastAsia="Arial" w:cs="Arial"/>
          <w:b/>
        </w:rPr>
        <w:t>резервный, более проходимый и менее конфликтный</w:t>
      </w:r>
      <w:r>
        <w:rPr>
          <w:rFonts w:ascii="Arial" w:hAnsi="Arial" w:eastAsia="Arial" w:cs="Arial"/>
        </w:rPr>
        <w:t xml:space="preserve"> путь, если государство не захочет немедленно вводить новый вид гражданства или не захочет в первый этап идти на масштабную конституционную реформу.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 xml:space="preserve">Одновременная подготовка двух моделей усиливает переговорную позицию: у государства появляется выбор между </w:t>
      </w:r>
      <w:r>
        <w:rPr>
          <w:rFonts w:ascii="Arial" w:hAnsi="Arial" w:eastAsia="Arial" w:cs="Arial"/>
          <w:b/>
        </w:rPr>
        <w:t>более амбициозной моделью</w:t>
      </w:r>
      <w:r>
        <w:rPr>
          <w:rFonts w:ascii="Arial" w:hAnsi="Arial" w:eastAsia="Arial" w:cs="Arial"/>
        </w:rPr>
        <w:t xml:space="preserve"> и </w:t>
      </w:r>
      <w:r>
        <w:rPr>
          <w:rFonts w:ascii="Arial" w:hAnsi="Arial" w:eastAsia="Arial" w:cs="Arial"/>
          <w:b/>
        </w:rPr>
        <w:t>более быстро вводимой моделью</w:t>
      </w:r>
      <w:r>
        <w:rPr>
          <w:rFonts w:ascii="Arial" w:hAnsi="Arial" w:eastAsia="Arial" w:cs="Arial"/>
        </w:rPr>
        <w:t>.</w:t>
      </w:r>
    </w:p>
    <w:p>
      <w:pPr>
        <w:pStyle w:val="Heading1Custom"/>
      </w:pPr>
      <w:r>
        <w:rPr>
          <w:rFonts w:ascii="Arial" w:hAnsi="Arial" w:eastAsia="Arial" w:cs="Arial"/>
        </w:rPr>
        <w:t>5. Общие цели, мотивы и преимущества</w:t>
      </w:r>
    </w:p>
    <w:p>
      <w:pPr>
        <w:pStyle w:val="Heading2Custom"/>
      </w:pPr>
      <w:r>
        <w:rPr>
          <w:rFonts w:ascii="Arial" w:hAnsi="Arial" w:eastAsia="Arial" w:cs="Arial"/>
        </w:rPr>
        <w:t>5.1. Цели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дать релокантам, уже укоренившимся в Армении, устойчивый правовой статус, не вынуждающий их возвращаться в небезопасную юрисдикцию только ради базовых документов;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сформировать законный и прозрачный путь от фактической интеграции к более прочной правовой связи с Республикой Армения;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укрепить репутацию Армении как государства, которое сочетает гуманизм, безопасность и юридическую определённость;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создать инструмент привлечения и удержания человеческого капитала, семей, предпринимателей, специалистов и налоговых резидентов.</w:t>
      </w:r>
    </w:p>
    <w:p>
      <w:pPr>
        <w:pStyle w:val="Heading2Custom"/>
      </w:pPr>
      <w:r>
        <w:rPr>
          <w:rFonts w:ascii="Arial" w:hAnsi="Arial" w:eastAsia="Arial" w:cs="Arial"/>
        </w:rPr>
        <w:t>5.2. Мотивы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часть релокантов уже проживает, работает, арендует жильё, учит детей, платит налоги и строит долгосрочные планы в Армении;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 xml:space="preserve">существующие режимы пребывания и даже специальные виды проживания не закрывают полностью проблему </w:t>
      </w:r>
      <w:r>
        <w:rPr>
          <w:rFonts w:ascii="Arial" w:hAnsi="Arial" w:eastAsia="Arial" w:cs="Arial"/>
          <w:b/>
        </w:rPr>
        <w:t>долгосрочной защищённости, внутренней правовой связи со страной проживания и устойчивого документационного режима</w:t>
      </w:r>
      <w:r>
        <w:rPr>
          <w:rFonts w:ascii="Arial" w:hAnsi="Arial" w:eastAsia="Arial" w:cs="Arial"/>
        </w:rPr>
        <w:t>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у части заявителей есть объективный риск в случае вынужденного возвращения в страну происхождения для решения паспортных и иных документарных вопросов;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действующее право Армении уже знает инструменты, приближающие статус к гражданству, а значит, реформа не является концептуально чуждой правовой системе.</w:t>
      </w:r>
    </w:p>
    <w:p>
      <w:pPr>
        <w:pStyle w:val="Heading2Custom"/>
      </w:pPr>
      <w:r>
        <w:rPr>
          <w:rFonts w:ascii="Arial" w:hAnsi="Arial" w:eastAsia="Arial" w:cs="Arial"/>
        </w:rPr>
        <w:t>5.3. Преимущества для государства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рост налоговой базы и потребительской активности;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закрепление квалифицированного человеческого капитала и предпринимательской инициативы;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демографический и социальный эффект в виде закрепления семей и детей в армянской юрисдикции;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повышение международного имиджа Армении как правового и гуманного государства;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</w:rPr>
        <w:t>возможность заменить хаотичные и индивидуальные решения на единый прозрачный режим.</w:t>
      </w:r>
    </w:p>
    <w:p>
      <w:pPr>
        <w:pStyle w:val="Heading1Custom"/>
      </w:pPr>
      <w:r>
        <w:rPr>
          <w:rFonts w:ascii="Arial" w:hAnsi="Arial" w:eastAsia="Arial" w:cs="Arial"/>
        </w:rPr>
        <w:t>6. Что должно быть принято в каком порядке</w:t>
      </w:r>
    </w:p>
    <w:p>
      <w:pPr>
        <w:spacing w:after="60"/>
        <w:ind w:left="397" w:hanging="283"/>
      </w:pPr>
      <w:r>
        <w:rPr>
          <w:rFonts w:ascii="Arial" w:hAnsi="Arial" w:eastAsia="Arial" w:cs="Arial"/>
        </w:rPr>
        <w:t>1. Политическое решение о том, поддерживается ли модель временного гражданства как основной путь и модель специальной гражданской принадлежности как самостоятельный либо резервный или параллельный путь.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2. </w:t>
      </w:r>
      <w:r>
        <w:rPr>
          <w:rFonts w:ascii="Arial" w:hAnsi="Arial" w:eastAsia="Arial" w:cs="Arial"/>
        </w:rPr>
        <w:t>Конституционный пакет — обязателен для абсолютного запрета выдачи и для безрискового введения временного гражданства как особой формы правовой связи с государством.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3. </w:t>
      </w:r>
      <w:r>
        <w:rPr>
          <w:rFonts w:ascii="Arial" w:hAnsi="Arial" w:eastAsia="Arial" w:cs="Arial"/>
        </w:rPr>
        <w:t>Законодательный пакет по временному гражданству — если государство выбирает амбициозную модель.</w:t>
      </w:r>
    </w:p>
    <w:p>
      <w:pPr>
        <w:spacing w:after="60"/>
        <w:ind w:left="397" w:hanging="283"/>
      </w:pPr>
      <w:r>
        <w:rPr>
          <w:rFonts w:ascii="Arial" w:hAnsi="Arial" w:eastAsia="Arial" w:cs="Arial"/>
        </w:rPr>
        <w:t>4. Законодательный пакет по специальной гражданской принадлежности — если государство выбирает самостоятельную или параллельную модель.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5. </w:t>
      </w:r>
      <w:r>
        <w:rPr>
          <w:rFonts w:ascii="Arial" w:hAnsi="Arial" w:eastAsia="Arial" w:cs="Arial"/>
        </w:rPr>
        <w:t>Подзаконные акты Правительства Республики Армения: порядок подачи, формы документов, перечень проверок, размер пошлин, регламент межведомственного взаимодействия, документ для подтверждения статуса, возможный travel document или иной документ возврата в Армению.</w:t>
      </w:r>
    </w:p>
    <w:p>
      <w:pPr>
        <w:spacing w:after="60"/>
        <w:ind w:left="397" w:hanging="283"/>
      </w:pPr>
      <w:r>
        <w:rPr>
          <w:rFonts w:ascii="Arial" w:hAnsi="Arial" w:eastAsia="Arial" w:cs="Arial"/>
          <w:b/>
        </w:rPr>
        <w:t xml:space="preserve">6. </w:t>
      </w:r>
      <w:r>
        <w:rPr>
          <w:rFonts w:ascii="Arial" w:hAnsi="Arial" w:eastAsia="Arial" w:cs="Arial"/>
        </w:rPr>
        <w:t>Запуск НКО как институционального представителя и экспертного центра поддержки проекта.</w:t>
      </w:r>
    </w:p>
    <w:p>
      <w:pPr>
        <w:pStyle w:val="Heading1Custom"/>
      </w:pPr>
      <w:r>
        <w:rPr>
          <w:rFonts w:ascii="Arial" w:hAnsi="Arial" w:eastAsia="Arial" w:cs="Arial"/>
        </w:rPr>
        <w:t>7. Общие юридические оговорки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Термин «релокант» не должен использоваться в нормативном тексте как юридическая категория.</w:t>
      </w:r>
      <w:r>
        <w:rPr>
          <w:rFonts w:ascii="Arial" w:hAnsi="Arial" w:eastAsia="Arial" w:cs="Arial"/>
        </w:rPr>
        <w:t xml:space="preserve"> В законах следует использовать нейтральные формулы: «иностранный гражданин» или «лицо без гражданства», законно проживающее в Республике Армения не менее шести месяцев.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Абсолютный запрет выдачи требует конституционного решения.</w:t>
      </w:r>
      <w:r>
        <w:rPr>
          <w:rFonts w:ascii="Arial" w:hAnsi="Arial" w:eastAsia="Arial" w:cs="Arial"/>
        </w:rPr>
        <w:t xml:space="preserve"> Действующая Конституция допускает treaty-исключение для выдачи граждан; эта оговорка должна быть убрана, если политическая цель — абсолютная невыдача.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Армения может гарантировать собственный статус и собственный документ, но не может гарантировать признание такого документа третьими государствами вместо национального паспорта заявителя.</w:t>
      </w:r>
      <w:r>
        <w:rPr>
          <w:rFonts w:ascii="Arial" w:hAnsi="Arial" w:eastAsia="Arial" w:cs="Arial"/>
        </w:rPr>
        <w:t xml:space="preserve"> Это должно быть прямо отражено в пояснительных материалах, чтобы не создавать ложных ожиданий.</w:t>
      </w:r>
    </w:p>
    <w:p>
      <w:pPr>
        <w:spacing w:after="60"/>
        <w:ind w:left="340" w:hanging="198"/>
      </w:pPr>
      <w:r>
        <w:rPr>
          <w:rFonts w:ascii="Arial" w:hAnsi="Arial" w:eastAsia="Arial" w:cs="Arial"/>
          <w:b/>
        </w:rPr>
        <w:t xml:space="preserve">• </w:t>
      </w:r>
      <w:r>
        <w:rPr>
          <w:rFonts w:ascii="Arial" w:hAnsi="Arial" w:eastAsia="Arial" w:cs="Arial"/>
          <w:b/>
        </w:rPr>
        <w:t>Для официального внесения потребуется армяноязычная версия.</w:t>
      </w:r>
      <w:r>
        <w:rPr>
          <w:rFonts w:ascii="Arial" w:hAnsi="Arial" w:eastAsia="Arial" w:cs="Arial"/>
        </w:rPr>
        <w:t xml:space="preserve"> Настоящие русскоязычные пакеты являются рабочими, но уже структурированы так, чтобы их можно было быстро адаптировать для государственного оборота.</w:t>
      </w:r>
    </w:p>
    <w:p>
      <w:pPr>
        <w:pStyle w:val="Heading1Custom"/>
      </w:pPr>
      <w:r>
        <w:rPr>
          <w:rFonts w:ascii="Arial" w:hAnsi="Arial" w:eastAsia="Arial" w:cs="Arial"/>
        </w:rPr>
        <w:t>8. Общий перечень приложений, которые целесообразно подавать вместе с пакетами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762"/>
        <w:gridCol w:w="4762"/>
      </w:tblGrid>
      <w:tr>
        <w:tc>
          <w:tcPr>
            <w:tcW w:type="dxa" w:w="3402"/>
            <w:shd w:fill="F5F7FA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Приложение</w:t>
            </w:r>
          </w:p>
        </w:tc>
        <w:tc>
          <w:tcPr>
            <w:tcW w:type="dxa" w:w="5839"/>
            <w:shd w:fill="ECECEC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</w:rPr>
              <w:t>Зачем нужно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Сопроводительное письмо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Фиксирует адресата, предмет обращения и перечень прилагаемых материалов.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Пояснительная записка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Объясняет цели, мотивы, преимущества, риски и правовую логику проекта.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Сравнительная таблица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Показывает, какие нормы предлагается изменить и какой эффект это даёт.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Краткое исполнительное резюме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Позволяет руководству быстро понять сущность инициативы без чтения полного пакета.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Дорожная карта реализации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Показывает, какие законы, подзаконные акты и процедуры нужно принять после одобрения.</w:t>
            </w:r>
          </w:p>
        </w:tc>
      </w:tr>
      <w:tr>
        <w:tc>
          <w:tcPr>
            <w:tcW w:type="dxa" w:w="340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Лист официальных правовых опор</w:t>
            </w:r>
          </w:p>
        </w:tc>
        <w:tc>
          <w:tcPr>
            <w:tcW w:type="dxa" w:w="5839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Фиксирует нормативные источники и снижает риск спора о фактической базе предложения.</w:t>
            </w:r>
          </w:p>
        </w:tc>
      </w:tr>
    </w:tbl>
    <w:p/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  <w:b/>
        </w:rPr>
        <w:t xml:space="preserve">Базовые официальные опоры пакета: </w:t>
      </w:r>
      <w:r>
        <w:rPr>
          <w:rFonts w:ascii="Arial" w:hAnsi="Arial" w:eastAsia="Arial" w:cs="Arial"/>
        </w:rPr>
        <w:t>Конституция Республики Армения (ARLIS, статьи 40, 47, 48, 55, 202); Закон Республики Армения «О гражданстве Республики Армения» (ARLIS, статьи 5, 9, 13, 26); Официальная страница МИД Армении о гражданстве; Официальная страница МИД Армении о special residency status; Официальная страница Правительства Республики Армения о структуре Правительства; Официальная страница Президента Республики Армения</w:t>
      </w:r>
    </w:p>
    <w:p>
      <w:pPr>
        <w:pStyle w:val="Heading1Custom"/>
      </w:pPr>
      <w:r>
        <w:rPr>
          <w:rFonts w:ascii="Arial" w:hAnsi="Arial" w:eastAsia="Arial" w:cs="Arial"/>
        </w:rPr>
        <w:t>9. Что именно получает Армения от всего пакета реформы</w:t>
      </w:r>
    </w:p>
    <w:p>
      <w:pPr/>
      <w:r>
        <w:rPr>
          <w:rFonts w:ascii="Arial" w:hAnsi="Arial" w:eastAsia="Arial" w:cs="Arial"/>
        </w:rPr>
        <w:t>• закрепление в Армении квалифицированных специалистов, предпринимателей, работников цифровой экономики, преподавателей, студентов и членов их семей;</w:t>
      </w:r>
    </w:p>
    <w:p>
      <w:pPr/>
      <w:r>
        <w:rPr>
          <w:rFonts w:ascii="Arial" w:hAnsi="Arial" w:eastAsia="Arial" w:cs="Arial"/>
        </w:rPr>
        <w:t>• рост налоговой базы за счёт официальной занятости, предпринимательства, потребления, аренды жилья, банковской активности и долгосрочного присутствия семей;</w:t>
      </w:r>
    </w:p>
    <w:p>
      <w:pPr/>
      <w:r>
        <w:rPr>
          <w:rFonts w:ascii="Arial" w:hAnsi="Arial" w:eastAsia="Arial" w:cs="Arial"/>
        </w:rPr>
        <w:t>• снижение административной нагрузки за счёт перехода от разрозненных индивидуальных решений к единому правовому режиму с понятными критериями и процедурами;</w:t>
      </w:r>
    </w:p>
    <w:p>
      <w:pPr/>
      <w:r>
        <w:rPr>
          <w:rFonts w:ascii="Arial" w:hAnsi="Arial" w:eastAsia="Arial" w:cs="Arial"/>
        </w:rPr>
        <w:t>• укрепление демографической устойчивости через закрепление семей, детей, школьников и долгосрочных домохозяйств в армянской юрисдикции;</w:t>
      </w:r>
    </w:p>
    <w:p>
      <w:pPr/>
      <w:r>
        <w:rPr>
          <w:rFonts w:ascii="Arial" w:hAnsi="Arial" w:eastAsia="Arial" w:cs="Arial"/>
        </w:rPr>
        <w:t>• повышение инвестиционной и деловой предсказуемости: чем устойчивее статус человека, тем выше вероятность регистрации бизнеса, долгосрочных контрактов и реинвестирования доходов в Армении;</w:t>
      </w:r>
    </w:p>
    <w:p>
      <w:pPr/>
      <w:r>
        <w:rPr>
          <w:rFonts w:ascii="Arial" w:hAnsi="Arial" w:eastAsia="Arial" w:cs="Arial"/>
        </w:rPr>
        <w:t>• укрепление международной репутации Армении как правового, гуманного и конкурентоспособного государства Южного Кавказа;</w:t>
      </w:r>
    </w:p>
    <w:p>
      <w:pPr/>
      <w:r>
        <w:rPr>
          <w:rFonts w:ascii="Arial" w:hAnsi="Arial" w:eastAsia="Arial" w:cs="Arial"/>
        </w:rPr>
        <w:t>• создание управляемого и лояльного пути от фактической интеграции к полному гражданству вместо пребывания людей в серой зоне.</w:t>
      </w:r>
    </w:p>
    <w:p>
      <w:pPr>
        <w:pStyle w:val="Heading1Custom"/>
      </w:pPr>
      <w:r>
        <w:rPr>
          <w:rFonts w:ascii="Arial" w:hAnsi="Arial" w:eastAsia="Arial" w:cs="Arial"/>
        </w:rPr>
        <w:t>10. Временное гражданство и гражданская принадлежность: выбор одного статуса или параллельный запуск</w:t>
      </w:r>
    </w:p>
    <w:p>
      <w:pPr/>
      <w:r>
        <w:rPr>
          <w:rFonts w:ascii="Arial" w:hAnsi="Arial" w:eastAsia="Arial" w:cs="Arial"/>
        </w:rPr>
        <w:t>1. модель выбора одного статуса: государство вправе рассмотреть временное гражданство и гражданскую принадлежность как два самостоятельных проекта и принять только один из них;</w:t>
      </w:r>
    </w:p>
    <w:p>
      <w:pPr/>
      <w:r>
        <w:rPr>
          <w:rFonts w:ascii="Arial" w:hAnsi="Arial" w:eastAsia="Arial" w:cs="Arial"/>
        </w:rPr>
        <w:t>2. модель параллельного запуска: государство вправе одновременно принять оба статуса и предоставить заявителю или уполномоченному органу выбор наилучшего маршрута в зависимости от степени интеграции, семейной ситуации и публичного интереса;</w:t>
      </w:r>
    </w:p>
    <w:p>
      <w:pPr/>
      <w:r>
        <w:rPr>
          <w:rFonts w:ascii="Arial" w:hAnsi="Arial" w:eastAsia="Arial" w:cs="Arial"/>
        </w:rPr>
        <w:t>3. модель поэтапного введения: гражданская принадлежность запускается первой как более быстрый законодательный трек, а временное гражданство вводится после прохождения конституционного маршрута;</w:t>
      </w:r>
    </w:p>
    <w:p>
      <w:pPr/>
      <w:r>
        <w:rPr>
          <w:rFonts w:ascii="Arial" w:hAnsi="Arial" w:eastAsia="Arial" w:cs="Arial"/>
        </w:rPr>
        <w:t>4. в нормативных текстах целесообразно прямо закрепить, что наличие гражданской принадлежности не препятствует последующему обращению за временным гражданством или полным гражданством, если лицо соответствует установленным законом критериям.</w:t>
      </w:r>
    </w:p>
    <w:p>
      <w:pPr>
        <w:pStyle w:val="Heading1Custom"/>
      </w:pPr>
      <w:r>
        <w:rPr>
          <w:rFonts w:ascii="Arial" w:hAnsi="Arial" w:eastAsia="Arial" w:cs="Arial"/>
        </w:rPr>
        <w:t>11. Раздел общественной поддержки реформы и личной поддержки Премьер-министра Республики Армения</w:t>
      </w:r>
    </w:p>
    <w:p>
      <w:pPr/>
      <w:r>
        <w:rPr>
          <w:rFonts w:ascii="Arial" w:hAnsi="Arial" w:eastAsia="Arial" w:cs="Arial"/>
        </w:rPr>
        <w:t>Сообщество релокантов, поддерживающее реформу, выражает личную политическую поддержку Премьер-министру Республики Армения Николу Пашиняну как руководителю, при котором Армения сохранила открытость к реформам, институциональному диалогу и правовой интеграции новых жителей.</w:t>
      </w:r>
    </w:p>
    <w:p>
      <w:pPr/>
      <w:r>
        <w:rPr>
          <w:rFonts w:ascii="Arial" w:hAnsi="Arial" w:eastAsia="Arial" w:cs="Arial"/>
        </w:rPr>
        <w:t>Сообщество заявляет о желании двигаться вместе с Николом Пашиняном и его политической командой в следующих электоральных циклах и связывать с этим курсом своё долгосрочное будущее в Армении. До приобретения предусмотренных законом избирательных прав такая поддержка выражается в общественной, экспертной, публичной и организационной плоскости; после получения соответствующего статуса и прав — также в политическом процессе в пределах, допускаемых Конституцией и законами Республики Армения.</w:t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</w:rPr>
        <w:t>Готовая формула для публичного использования: «Сообщество релокантов поддерживает Премьер-министра Никола Пашиняна и его реформаторский курс, связывает своё долгосрочное будущее с Арменией и по мере получения предусмотренных законом прав готово двигаться вместе с ним и его командой в будущих выборах».</w:t>
      </w:r>
    </w:p>
    <w:sectPr w:rsidR="00FC693F" w:rsidRPr="0006063C" w:rsidSect="00034616">
      <w:footerReference w:type="default" r:id="rId9"/>
      <w:headerReference w:type="default" r:id="rId10"/>
      <w:pgSz w:w="11906" w:h="16838"/>
      <w:pgMar w:top="907" w:right="1020" w:bottom="907" w:left="1020" w:header="454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 w:after="0" w:line="240" w:lineRule="auto"/>
      <w:jc w:val="center"/>
      <w:pBdr>
        <w:top w:val="single" w:sz="8" w:space="6" w:color="D4DAE3"/>
      </w:pBdr>
    </w:pPr>
    <w:r>
      <w:rPr>
        <w:rFonts w:ascii="Arial" w:hAnsi="Arial" w:eastAsia="Arial" w:cs="Arial"/>
        <w:color w:val="7B8694"/>
        <w:sz w:val="18"/>
      </w:rPr>
      <w:t>Пакет 01 • Реестр пакетов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10" w:line="276" w:lineRule="auto" w:before="0"/>
    </w:pPr>
    <w:rPr>
      <w:rFonts w:ascii="Arial" w:hAnsi="Arial" w:eastAsia="Arial" w:cs="Arial"/>
      <w:color w:val="222B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rial" w:hAnsi="Arial" w:eastAsia="Arial" w:cs="Arial"/>
      <w:b/>
      <w:bCs/>
      <w:color w:val="163F6D"/>
      <w:sz w:val="3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rial" w:hAnsi="Arial" w:eastAsia="Arial" w:cs="Arial"/>
      <w:b/>
      <w:bCs/>
      <w:color w:val="4F81BD" w:themeColor="accen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 w:eastAsia="Arial" w:cs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40" w:line="252" w:lineRule="auto" w:before="0"/>
      <w:contextualSpacing/>
    </w:pPr>
    <w:rPr>
      <w:rFonts w:asciiTheme="majorHAnsi" w:eastAsiaTheme="majorEastAsia" w:hAnsiTheme="majorHAnsi" w:cstheme="majorBidi" w:ascii="Arial" w:hAnsi="Arial" w:eastAsia="Arial" w:cs="Arial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360"/>
    </w:pPr>
    <w:rPr>
      <w:rFonts w:asciiTheme="majorHAnsi" w:eastAsiaTheme="majorEastAsia" w:hAnsiTheme="majorHAnsi" w:cstheme="majorBidi" w:ascii="Arial" w:hAnsi="Arial" w:eastAsia="Arial" w:cs="Arial"/>
      <w:i/>
      <w:iCs/>
      <w:color w:val="4F81BD" w:themeColor="accent1"/>
      <w:spacing w:val="15"/>
      <w:sz w:val="2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line="269" w:lineRule="auto" w:before="0" w:after="100"/>
      <w:ind w:left="720"/>
      <w:contextualSpacing/>
    </w:pPr>
    <w:rPr>
      <w:rFonts w:ascii="Arial" w:hAnsi="Arial" w:eastAsia="Arial" w:cs="Arial"/>
      <w:sz w:val="21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basedOn w:val="Normal"/>
    <w:pPr>
      <w:keepNext/>
      <w:spacing w:after="220" w:line="247" w:lineRule="auto" w:before="0"/>
      <w:jc w:val="center"/>
    </w:pPr>
    <w:rPr>
      <w:rFonts w:ascii="Times New Roman" w:hAnsi="Times New Roman" w:eastAsia="Times New Roman" w:cs="Times New Roman"/>
      <w:b/>
      <w:color w:val="7A1F2A"/>
      <w:sz w:val="50"/>
    </w:rPr>
  </w:style>
  <w:style w:type="paragraph" w:customStyle="1" w:styleId="SubtitleCustom">
    <w:name w:val="SubtitleCustom"/>
    <w:basedOn w:val="Normal"/>
    <w:pPr>
      <w:keepNext/>
      <w:spacing w:after="240" w:before="0" w:line="259" w:lineRule="auto"/>
      <w:jc w:val="center"/>
    </w:pPr>
    <w:rPr>
      <w:rFonts w:ascii="Times New Roman" w:hAnsi="Times New Roman" w:eastAsia="Times New Roman" w:cs="Times New Roman"/>
      <w:i/>
      <w:color w:val="5A5E66"/>
      <w:sz w:val="26"/>
    </w:rPr>
  </w:style>
  <w:style w:type="paragraph" w:customStyle="1" w:styleId="Heading1Custom">
    <w:name w:val="Heading1Custom"/>
    <w:basedOn w:val="Normal"/>
    <w:pPr>
      <w:keepNext/>
      <w:spacing w:before="320" w:after="140"/>
    </w:pPr>
    <w:rPr>
      <w:rFonts w:ascii="Arial" w:hAnsi="Arial" w:eastAsia="Arial" w:cs="Arial"/>
      <w:b/>
      <w:color w:val="7A1F2A"/>
      <w:sz w:val="38"/>
    </w:rPr>
  </w:style>
  <w:style w:type="paragraph" w:customStyle="1" w:styleId="Heading2Custom">
    <w:name w:val="Heading2Custom"/>
    <w:basedOn w:val="Normal"/>
    <w:pPr>
      <w:keepNext/>
      <w:spacing w:before="260" w:after="120"/>
    </w:pPr>
    <w:rPr>
      <w:rFonts w:ascii="Arial" w:hAnsi="Arial" w:eastAsia="Arial" w:cs="Arial"/>
      <w:b/>
      <w:color w:val="254F73"/>
      <w:sz w:val="28"/>
    </w:rPr>
  </w:style>
  <w:style w:type="paragraph" w:customStyle="1" w:styleId="SmallGray">
    <w:name w:val="SmallGray"/>
    <w:basedOn w:val="Normal"/>
    <w:pPr>
      <w:keepNext/>
      <w:spacing w:after="140" w:before="0" w:line="240" w:lineRule="auto"/>
      <w:jc w:val="center"/>
    </w:pPr>
    <w:rPr>
      <w:rFonts w:ascii="Arial" w:hAnsi="Arial" w:eastAsia="Arial" w:cs="Arial"/>
      <w:color w:val="6C7178"/>
      <w:sz w:val="21"/>
    </w:rPr>
  </w:style>
  <w:style w:type="paragraph" w:customStyle="1" w:styleId="QuoteBox">
    <w:name w:val="QuoteBox"/>
    <w:basedOn w:val="Normal"/>
    <w:pPr>
      <w:spacing w:after="180" w:before="160" w:line="276" w:lineRule="auto"/>
      <w:ind w:left="216" w:right="72"/>
    </w:pPr>
    <w:rPr>
      <w:rFonts w:ascii="Arial" w:hAnsi="Arial" w:eastAsia="Arial" w:cs="Arial"/>
      <w:color w:val="202834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