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ПАКЕТ 01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Предложение и карта инициативы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Презентационный комплект о временном гражданстве и гражданской принадлежности для Республики Армения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Формат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Готовый презентационный проект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Режим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Для официального представления и публичной демонстрации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Модель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Два статуса: независимое рассмотрение или параллельный запуск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Содержание пакета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Краткое предложение для государства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Карта всех документов пакета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Архитектура статусов и государственный эффект</w:t>
            </w:r>
          </w:p>
        </w:tc>
      </w:tr>
    </w:tbl>
    <w:p>
      <w:r>
        <w:rPr>
          <w:rFonts w:ascii="Arial" w:hAnsi="Arial" w:eastAsia="Arial" w:cs="Arial"/>
        </w:rPr>
        <w:br w:type="page"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Предложение</w:t>
      </w:r>
    </w:p>
    <w:p>
      <w:r>
        <w:rPr>
          <w:rFonts w:ascii="Arial" w:hAnsi="Arial" w:eastAsia="Arial" w:cs="Arial"/>
          <w:b w:val="0"/>
          <w:i w:val="0"/>
          <w:color w:val="1F2937"/>
        </w:rPr>
        <w:t>Предлагается вынести на государственное рассмотрение два правовых решения для лиц, уже проживающих в Республике Армения и подтвердивших устойчивую связь со страной: временное гражданство как конституционный трек и гражданскую принадлежность как более быстрый законодательный трек.</w:t>
      </w:r>
    </w:p>
    <w:p>
      <w:r>
        <w:rPr>
          <w:rFonts w:ascii="Arial" w:hAnsi="Arial" w:eastAsia="Arial" w:cs="Arial"/>
          <w:b w:val="0"/>
          <w:i w:val="0"/>
          <w:color w:val="1F2937"/>
        </w:rPr>
        <w:t>Оба решения направлены на закрепление в Армении людей, семей, бизнеса, налоговой базы и профессиональных компетенций. Статусы могут рассматриваться либо как два самостоятельных варианта с выбором одного, либо как параллельный двухконтурный пакет правовой интеграции.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5F8F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Ключевая рамка рассмотрения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Временное гражданство и гражданская принадлежность представлены как два самостоятельных статуса, каждый из которых может быть выбран государством отдельно.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Одновременно предусмотрен параллельный сценарий, при котором оба статуса формируют единый двухконтурный механизм правовой интеграции.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Что получает Армения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Направление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Государственный результат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Человеческий капитал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Закрепление в Армении высокообразованных специалистов, предпринимателей, врачей, инженеров, преподавателей, исследователей и команд, уже встроенных в экономику страны.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Налоговая база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Локализация доходов, контрактов, бизнеса и долгосрочной деловой активности внутри армянской юрисдикции.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Рабочие места и инвестиции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Рост числа компаний, рабочих мест, сервисных контрактов, арендных и инвестиционных решений.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Медицина, IT и образование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Усиление отраслей, в которых особенно важны мобильные компетенции и быстрый приток квалифицированных кадров.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Демография и семьи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Закрепление домохозяйств, детей, учащихся и долгосрочного присутствия семей в Армении.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Международная репутация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Укрепление образа Армении как современной, правовой, гуманной и предсказуемой юрисдикции региона.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Два режима рассмотрения статусов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Режим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Описание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Независимое рассмотрение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Временное гражданство и гражданская принадлежность могут быть представлены как два самостоятельных проекта. Государство вправе выбрать только один из них как основной маршрут.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Параллельный запуск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Оба статуса могут быть приняты одновременно: гражданская принадлежность — как более быстрый путь правовой интеграции, временное гражданство — как усиленный переходный мост к полному гражданству.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Состав презентационного комплекта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1020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№</w:t>
            </w:r>
          </w:p>
        </w:tc>
        <w:tc>
          <w:tcPr>
            <w:tcW w:type="dxa" w:w="86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Документ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01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Предложение и карта инициативы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02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Конституционный пакет реформы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03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Пакет по временному гражданству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04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Пакет по гражданской принадлежности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05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Бизнес и люди: официальные сторонники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06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Официальное обращение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07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Открытое письмо Премьер-министру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08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Поддержка НКО и общественная координация</w:t>
            </w:r>
          </w:p>
        </w:tc>
      </w:tr>
    </w:tbl>
    <w:p/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Порядок государственного движения пакета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Принять предложение к предварительному рассмотрению и определить формат межведомственной проработки.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Оценить возможность выбора одного статуса либо запуска двух статусов в параллельном режиме.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Согласовать конституционный и законодательный треки, включая официальный перевод и юридико-техническую редакцию.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Сформировать рабочий формат взаимодействия государства, экспертного сообщества, бизнеса и общественных сторонников.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FF7EA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Итоговое позиционирование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Пакет оформлен как готовая презентационная инициатива, в которой право, государственный интерес и общественная поддержка собраны в единую систему.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Основной акцент сделан на том, что Армения получает не временную миграционную меру, а инструмент удержания людей, капитала, компетенций и долгосрочной лояльности к армянской юрисдикции.</w:t>
            </w:r>
          </w:p>
        </w:tc>
      </w:tr>
    </w:tbl>
    <w:p/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Пакет 01 • Карта реформы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