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  <w:tblCellMar>
          <w:top w:w="0" w:type="dxa"/>
          <w:start w:w="0" w:type="dxa"/>
          <w:bottom w:w="0" w:type="dxa"/>
          <w:end w:w="0" w:type="dxa"/>
        </w:tblCellMar>
      </w:tblPr>
      <w:tblGrid>
        <w:gridCol w:w="3289"/>
        <w:gridCol w:w="3289"/>
        <w:gridCol w:w="3289"/>
      </w:tblGrid>
      <w:tr>
        <w:tc>
          <w:tcPr>
            <w:tcW w:type="dxa" w:w="3175"/>
            <w:shd w:fill="D9282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1D56A6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F0A533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110" w:type="dxa"/>
          <w:start w:w="110" w:type="dxa"/>
          <w:bottom w:w="110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20" w:before="0" w:line="269" w:lineRule="auto"/>
              <w:jc w:val="left"/>
            </w:pPr>
            <w:r>
              <w:rPr>
                <w:rFonts w:ascii="Arial" w:hAnsi="Arial" w:eastAsia="Arial" w:cs="Arial"/>
                <w:b/>
                <w:i w:val="0"/>
                <w:caps/>
                <w:color w:val="DCE6F2"/>
                <w:sz w:val="23"/>
              </w:rPr>
              <w:t>ПАКЕТ 02</w:t>
            </w:r>
          </w:p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  <w:sz w:val="31"/>
              </w:rPr>
              <w:t>Конституционный пакет реформы</w:t>
            </w:r>
          </w:p>
          <w:p>
            <w:pPr>
              <w:spacing w:after="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DCE6F2"/>
                <w:sz w:val="23"/>
              </w:rPr>
              <w:t>Конституционный трек для временного гражданства, гражданской принадлежности и гарантий правовой защиты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6" w:space="0" w:color="BCC4CE"/>
          <w:left w:val="single" w:sz="6" w:space="0" w:color="BCC4CE"/>
          <w:bottom w:val="single" w:sz="6" w:space="0" w:color="BCC4CE"/>
          <w:right w:val="single" w:sz="6" w:space="0" w:color="BCC4CE"/>
          <w:insideH w:val="single" w:sz="6" w:space="0" w:color="BCC4CE"/>
          <w:insideV w:val="single" w:sz="6" w:space="0" w:color="BCC4CE"/>
        </w:tblBorders>
      </w:tblPr>
      <w:tblGrid>
        <w:gridCol w:w="2268"/>
        <w:gridCol w:w="7370"/>
      </w:tblGrid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Формат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Конституционный пакет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Цель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Придать статусам устойчивую конституционную основу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Результат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Закрепить полномочия закона, пределы политических прав и запрет передачи лиц другим государствам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D7DEE7"/>
          <w:left w:val="single" w:sz="5" w:space="0" w:color="D7DEE7"/>
          <w:bottom w:val="single" w:sz="5" w:space="0" w:color="D7DEE7"/>
          <w:right w:val="single" w:sz="5" w:space="0" w:color="D7DEE7"/>
          <w:insideH w:val="single" w:sz="5" w:space="0" w:color="D7DEE7"/>
          <w:insideV w:val="single" w:sz="5" w:space="0" w:color="D7DEE7"/>
        </w:tblBorders>
        <w:tblCellMar>
          <w:top w:w="95" w:type="dxa"/>
          <w:start w:w="110" w:type="dxa"/>
          <w:bottom w:w="95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F4F7FA" w:color="auto" w:val="clear"/>
            <w:vAlign w:val="center"/>
          </w:tcPr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63F6D"/>
                <w:sz w:val="24"/>
              </w:rPr>
              <w:t>Содержание пакета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Поправки к конституционной архитектуре статусов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Разграничение политических прав и правовой интеграции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Конституционная гарантия защиты и невыдачи</w:t>
            </w:r>
          </w:p>
        </w:tc>
      </w:tr>
    </w:tbl>
    <w:p>
      <w:r>
        <w:rPr>
          <w:rFonts w:ascii="Arial" w:hAnsi="Arial" w:eastAsia="Arial" w:cs="Arial"/>
        </w:rPr>
        <w:br w:type="page"/>
      </w:r>
    </w:p>
    <w:p>
      <w:pPr>
        <w:pStyle w:val="Heading1"/>
        <w:shd w:fill="0F1720"/>
      </w:pPr>
      <w:r>
        <w:rPr>
          <w:rFonts w:ascii="Arial" w:hAnsi="Arial" w:eastAsia="Arial" w:cs="Arial"/>
          <w:b/>
          <w:i w:val="0"/>
          <w:color w:val="FFFFFF"/>
        </w:rPr>
        <w:t>Конституционная рамка проекта</w:t>
      </w:r>
    </w:p>
    <w:p>
      <w:pPr>
        <w:shd w:fill="0F1720"/>
      </w:pPr>
      <w:r>
        <w:rPr>
          <w:rFonts w:ascii="Arial" w:hAnsi="Arial" w:eastAsia="Arial" w:cs="Arial"/>
          <w:b w:val="0"/>
          <w:i w:val="0"/>
          <w:color w:val="E6EEF8"/>
        </w:rPr>
        <w:t>Конституционный пакет фиксирует саму возможность существования двух новых форм устойчивой правовой связи с Республикой Армения и закрепляет пределы их действия в конституционной системе государства.</w:t>
      </w:r>
    </w:p>
    <w:p>
      <w:pPr>
        <w:shd w:fill="0F1720"/>
      </w:pPr>
      <w:r>
        <w:rPr>
          <w:rFonts w:ascii="Arial" w:hAnsi="Arial" w:eastAsia="Arial" w:cs="Arial"/>
          <w:b w:val="0"/>
          <w:i w:val="0"/>
          <w:color w:val="E6EEF8"/>
        </w:rPr>
        <w:t>Задача пакета — сделать временное гражданство и гражданскую принадлежность юридически ясными, управляемыми и совместимыми с конституционным порядком Армении.</w:t>
      </w:r>
    </w:p>
    <w:p>
      <w:pPr>
        <w:pStyle w:val="Heading1"/>
        <w:shd w:fill="0F1720"/>
      </w:pPr>
      <w:r>
        <w:rPr>
          <w:rFonts w:ascii="Arial" w:hAnsi="Arial" w:eastAsia="Arial" w:cs="Arial"/>
          <w:b/>
          <w:i w:val="0"/>
          <w:color w:val="FFFFFF"/>
        </w:rPr>
        <w:t>Что закрепляется на конституционном уровне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268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Элемент</w:t>
            </w:r>
          </w:p>
        </w:tc>
        <w:tc>
          <w:tcPr>
            <w:tcW w:type="dxa" w:w="7370"/>
            <w:vAlign w:val="center"/>
            <w:shd w:fill="1A2636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Конституционное решение</w:t>
            </w:r>
          </w:p>
        </w:tc>
      </w:tr>
      <w:tr>
        <w:tc>
          <w:tcPr>
            <w:tcW w:type="dxa" w:w="2268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Правовая основа</w:t>
            </w:r>
          </w:p>
        </w:tc>
        <w:tc>
          <w:tcPr>
            <w:tcW w:type="dxa" w:w="737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111827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Закон может устанавливать временное гражданство и гражданскую принадлежность как особые формы устойчивой правовой связи с государством.</w:t>
            </w:r>
          </w:p>
        </w:tc>
      </w:tr>
      <w:tr>
        <w:tc>
          <w:tcPr>
            <w:tcW w:type="dxa" w:w="2268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Политические права</w:t>
            </w:r>
          </w:p>
        </w:tc>
        <w:tc>
          <w:tcPr>
            <w:tcW w:type="dxa" w:w="737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111827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До приобретения полного гражданства лица с указанными статусами не участвуют в выборах и референдумах.</w:t>
            </w:r>
          </w:p>
        </w:tc>
      </w:tr>
      <w:tr>
        <w:tc>
          <w:tcPr>
            <w:tcW w:type="dxa" w:w="2268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Защита</w:t>
            </w:r>
          </w:p>
        </w:tc>
        <w:tc>
          <w:tcPr>
            <w:tcW w:type="dxa" w:w="737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111827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Гражданин, временный гражданин и лицо с гражданской принадлежностью не подлежат выдаче или передаче другому государству.</w:t>
            </w:r>
          </w:p>
        </w:tc>
      </w:tr>
      <w:tr>
        <w:tc>
          <w:tcPr>
            <w:tcW w:type="dxa" w:w="2268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Переходные положения</w:t>
            </w:r>
          </w:p>
        </w:tc>
        <w:tc>
          <w:tcPr>
            <w:tcW w:type="dxa" w:w="737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111827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Национальное Собрание и Правительство приводят законы и процедуры в соответствие с новой конституционной моделью.</w:t>
            </w:r>
          </w:p>
        </w:tc>
      </w:tr>
    </w:tbl>
    <w:p/>
    <w:p>
      <w:pPr>
        <w:pStyle w:val="Heading1"/>
        <w:shd w:fill="0F1720"/>
      </w:pPr>
      <w:r>
        <w:rPr>
          <w:rFonts w:ascii="Arial" w:hAnsi="Arial" w:eastAsia="Arial" w:cs="Arial"/>
          <w:b/>
          <w:i w:val="0"/>
          <w:color w:val="FFFFFF"/>
        </w:rPr>
        <w:t>Предлагаемая редакция конституционного закона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Статья 1. Дополнение статьи 47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Закон может устанавливать временное гражданство Республики Армения и гражданскую принадлежность к Республике Армения как особые формы устойчивой правовой связи с государством, определять основания их приобретения, срок действия, объём прав и обязанностей, порядок прекращения и гарантии защиты таких лиц.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Статья 2. Дополнение статьи 48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Лица, обладающие временным гражданством Республики Армения или гражданской принадлежностью к Республике Армения, до приобретения полного гражданства не участвуют в выборах и референдумах, если иное прямо не установлено Конституцией.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Статья 3. Изменение статьи 55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Гражданин Республики Армения, лицо с временным гражданством Республики Армения и лицо с гражданской принадлежностью к Республике Армения не подлежат выдаче или передаче другому государству.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Статья 4. Заключительные положения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Национальное Собрание и Правительство Республики Армения в установленный срок приводят законы и подзаконные акты в соответствие с настоящим конституционным законом.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Законы о временном гражданстве и гражданской принадлежности вводятся с учётом конституционной модели, закреплённой настоящим законом.</w:t>
            </w:r>
          </w:p>
        </w:tc>
      </w:tr>
    </w:tbl>
    <w:p/>
    <w:p>
      <w:pPr>
        <w:pStyle w:val="Heading1"/>
        <w:shd w:fill="0F1720"/>
      </w:pPr>
      <w:r>
        <w:rPr>
          <w:rFonts w:ascii="Arial" w:hAnsi="Arial" w:eastAsia="Arial" w:cs="Arial"/>
          <w:b/>
          <w:i w:val="0"/>
          <w:color w:val="FFFFFF"/>
        </w:rPr>
        <w:t>Государственный результат</w:t>
      </w:r>
    </w:p>
    <w:p>
      <w:pPr>
        <w:pStyle w:val="ListBullet"/>
        <w:shd w:fill="0F1720"/>
      </w:pPr>
      <w:r>
        <w:rPr>
          <w:rFonts w:ascii="Arial" w:hAnsi="Arial" w:eastAsia="Arial" w:cs="Arial"/>
          <w:b w:val="0"/>
          <w:i w:val="0"/>
          <w:color w:val="E6EEF8"/>
        </w:rPr>
        <w:t>Конституционный уровень делает реформу устойчивой и предсказуемой.</w:t>
      </w:r>
    </w:p>
    <w:p>
      <w:pPr>
        <w:pStyle w:val="ListBullet"/>
        <w:shd w:fill="0F1720"/>
      </w:pPr>
      <w:r>
        <w:rPr>
          <w:rFonts w:ascii="Arial" w:hAnsi="Arial" w:eastAsia="Arial" w:cs="Arial"/>
          <w:b w:val="0"/>
          <w:i w:val="0"/>
          <w:color w:val="E6EEF8"/>
        </w:rPr>
        <w:t>Государство получает ясную границу между правовой интеграцией и политическим участием.</w:t>
      </w:r>
    </w:p>
    <w:p>
      <w:pPr>
        <w:pStyle w:val="ListBullet"/>
        <w:shd w:fill="0F1720"/>
      </w:pPr>
      <w:r>
        <w:rPr>
          <w:rFonts w:ascii="Arial" w:hAnsi="Arial" w:eastAsia="Arial" w:cs="Arial"/>
          <w:b w:val="0"/>
          <w:i w:val="0"/>
          <w:color w:val="E6EEF8"/>
        </w:rPr>
        <w:t>Армения усиливает доверие к своей юрисдикции как к пространству долгосрочной защиты и правовой определённости.</w:t>
      </w:r>
    </w:p>
    <w:sectPr w:rsidR="00FC693F" w:rsidRPr="0006063C" w:rsidSect="00034616">
      <w:footerReference w:type="default" r:id="rId9"/>
      <w:headerReference w:type="default" r:id="rId10"/>
      <w:pgSz w:w="11906" w:h="16838"/>
      <w:pgMar w:top="907" w:right="1020" w:bottom="907" w:left="1020" w:header="720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 w:line="240" w:lineRule="auto"/>
      <w:jc w:val="center"/>
      <w:pBdr>
        <w:top w:val="single" w:sz="8" w:space="6" w:color="D4DAE3"/>
      </w:pBdr>
    </w:pPr>
    <w:r>
      <w:rPr>
        <w:rFonts w:ascii="Arial" w:hAnsi="Arial" w:eastAsia="Arial" w:cs="Arial"/>
        <w:color w:val="7B8694"/>
        <w:sz w:val="18"/>
      </w:rPr>
      <w:t>Пакет 02 • Конституционный пакет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10" w:line="276" w:lineRule="auto" w:before="0"/>
    </w:pPr>
    <w:rPr>
      <w:rFonts w:ascii="Arial" w:hAnsi="Arial" w:eastAsia="Arial" w:cs="Arial"/>
      <w:color w:val="222B36"/>
      <w:sz w:val="2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63F6D"/>
      <w:sz w:val="3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5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2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52" w:lineRule="auto" w:before="0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44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60"/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1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69" w:lineRule="auto" w:before="0" w:after="100"/>
      <w:ind w:left="720"/>
      <w:contextualSpacing/>
    </w:pPr>
    <w:rPr>
      <w:rFonts w:ascii="Arial" w:hAnsi="Arial" w:eastAsia="Arial" w:cs="Arial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