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CellMar>
          <w:top w:w="0" w:type="dxa"/>
          <w:start w:w="0" w:type="dxa"/>
          <w:bottom w:w="0" w:type="dxa"/>
          <w:end w:w="0" w:type="dxa"/>
        </w:tblCellMar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</w:tblPr>
      <w:tblGrid>
        <w:gridCol w:w="3175"/>
        <w:gridCol w:w="3175"/>
        <w:gridCol w:w="3175"/>
      </w:tblGrid>
      <w:tr>
        <w:tc>
          <w:tcPr>
            <w:tcW w:type="dxa" w:w="3175"/>
            <w:shd w:fill="D90012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0033A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  <w:tc>
          <w:tcPr>
            <w:tcW w:type="dxa" w:w="3175"/>
            <w:shd w:fill="F2A800"/>
            <w:tcBorders>
              <w:top w:sz="0" w:val="nil" w:color="FFFFFF"/>
              <w:bottom w:sz="0" w:val="nil" w:color="FFFFFF"/>
              <w:left w:sz="0" w:val="nil" w:color="FFFFFF"/>
              <w:right w:sz="0" w:val="nil" w:color="FFFFFF"/>
            </w:tcBorders>
            <w:vAlign w:val="center"/>
          </w:tcPr>
          <w:p>
            <w:pPr>
              <w:spacing w:after="50" w:before="0" w:line="269" w:lineRule="auto"/>
            </w:pPr>
          </w:p>
        </w:tc>
      </w:tr>
    </w:tbl>
    <w:p>
      <w:r>
        <w:rPr>
          <w:rFonts w:ascii="Arial" w:hAnsi="Arial" w:eastAsia="Arial" w:cs="Arial"/>
        </w:rPr>
      </w:r>
    </w:p>
    <w:p>
      <w:pPr>
        <w:pStyle w:val="SmallGray"/>
        <w:jc w:val="center"/>
      </w:pPr>
      <w:r>
        <w:rPr>
          <w:rFonts w:ascii="Arial" w:hAnsi="Arial" w:eastAsia="Arial" w:cs="Arial"/>
        </w:rPr>
        <w:t>ПАКЕТ 06 • РАБОЧАЯ РУССКОЯЗЫЧНАЯ РЕДАКЦИЯ ДЛЯ ГОСУДАРСТВЕННОГО ПРЕДСТАВЛЕНИЯ</w:t>
      </w:r>
    </w:p>
    <w:p>
      <w:pPr>
        <w:pStyle w:val="TitleCustom"/>
        <w:jc w:val="center"/>
      </w:pPr>
      <w:r>
        <w:rPr>
          <w:rFonts w:ascii="Arial" w:hAnsi="Arial" w:eastAsia="Arial" w:cs="Arial"/>
        </w:rPr>
        <w:t>Пакет государственных обращений и публичной кампании</w:t>
      </w:r>
    </w:p>
    <w:p>
      <w:pPr>
        <w:pStyle w:val="SubtitleCustom"/>
        <w:jc w:val="center"/>
      </w:pPr>
      <w:r>
        <w:rPr>
          <w:rFonts w:ascii="Arial" w:hAnsi="Arial" w:eastAsia="Arial" w:cs="Arial"/>
        </w:rPr>
        <w:t>Официальное обращение, открытое письмо, исполнительное резюме, шаблоны сопроводительных сообщений и формулы презентации пакета реформы на государственном уровне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6" w:space="0" w:color="BCC4CE"/>
          <w:left w:val="single" w:sz="6" w:space="0" w:color="BCC4CE"/>
          <w:bottom w:val="single" w:sz="6" w:space="0" w:color="BCC4CE"/>
          <w:right w:val="single" w:sz="6" w:space="0" w:color="BCC4CE"/>
          <w:insideH w:val="single" w:sz="6" w:space="0" w:color="BCC4CE"/>
          <w:insideV w:val="single" w:sz="6" w:space="0" w:color="BCC4CE"/>
        </w:tblBorders>
      </w:tblPr>
      <w:tblGrid>
        <w:gridCol w:w="2268"/>
        <w:gridCol w:w="6520"/>
      </w:tblGrid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1ECE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2"/>
              </w:rPr>
              <w:t>Дата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2"/>
              </w:rPr>
              <w:t>28 марта 2026 года</w:t>
            </w:r>
          </w:p>
        </w:tc>
      </w:tr>
      <w:tr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shd w:fill="F1ECE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2"/>
              </w:rPr>
              <w:t>Статус</w:t>
            </w:r>
          </w:p>
        </w:tc>
        <w:tc>
          <w:tcPr>
            <w:tcW w:type="dxa" w:w="4762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color w:val="222B36"/>
                <w:sz w:val="22"/>
              </w:rPr>
              <w:t>Подготовленный рабочий пакет для государственной презентации, подачи и последующей армяноязычной юридико-технической адаптации</w:t>
            </w:r>
          </w:p>
        </w:tc>
      </w:tr>
    </w:tbl>
    <w:p>
      <w:r>
        <w:rPr>
          <w:rFonts w:ascii="Arial" w:hAnsi="Arial" w:eastAsia="Arial" w:cs="Arial"/>
        </w:rPr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</w:rPr>
        <w:t>Примечание. Все проекты составлены на русском языке как рабочая версия для государственной презентации. Для официального внесения в органы Республики Армения требуется параллельная армяноязычная юридико-техническая редакция и финальная сверка с актуальными редакциями актов в ARLIS.</w:t>
      </w:r>
    </w:p>
    <w:p>
      <w:r>
        <w:rPr>
          <w:rFonts w:ascii="Arial" w:hAnsi="Arial" w:eastAsia="Arial" w:cs="Arial"/>
        </w:rPr>
      </w:r>
    </w:p>
    <w:p>
      <w:pPr>
        <w:pStyle w:val="Heading1Custom"/>
      </w:pPr>
      <w:r>
        <w:rPr>
          <w:rFonts w:ascii="Arial" w:hAnsi="Arial" w:eastAsia="Arial" w:cs="Arial"/>
        </w:rPr>
        <w:t>1. Назначение пакета</w:t>
      </w:r>
    </w:p>
    <w:p>
      <w:pPr/>
      <w:r>
        <w:rPr>
          <w:rFonts w:ascii="Arial" w:hAnsi="Arial" w:eastAsia="Arial" w:cs="Arial"/>
        </w:rPr>
        <w:t>Этот пакет предназначен для внешнего представления инициативы: он содержит не нормативные тексты как таковые, а сопроводительные документы, без которых даже хороший законопроект редко продвигается. Задача пакета — кратко, внятно и на государственном языке объяснить адресатам, зачем нужны два статуса, почему требуется конституционный блок и почему инициатива полезна для самой Армении.</w:t>
      </w:r>
    </w:p>
    <w:p>
      <w:pPr>
        <w:pStyle w:val="Heading1Custom"/>
      </w:pPr>
      <w:r>
        <w:rPr>
          <w:rFonts w:ascii="Arial" w:hAnsi="Arial" w:eastAsia="Arial" w:cs="Arial"/>
        </w:rPr>
        <w:t>2. Состав пакета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762"/>
        <w:gridCol w:w="4762"/>
      </w:tblGrid>
      <w:tr>
        <w:tc>
          <w:tcPr>
            <w:tcW w:type="dxa" w:w="2835"/>
            <w:shd w:fill="F5F7FA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Документ</w:t>
            </w:r>
          </w:p>
        </w:tc>
        <w:tc>
          <w:tcPr>
            <w:tcW w:type="dxa" w:w="6350"/>
            <w:shd w:fill="EEE7E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</w:rPr>
              <w:t>Назначение</w:t>
            </w:r>
          </w:p>
        </w:tc>
      </w:tr>
      <w:tr>
        <w:tc>
          <w:tcPr>
            <w:tcW w:type="dxa" w:w="283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Исполнительное резюме</w:t>
            </w:r>
          </w:p>
        </w:tc>
        <w:tc>
          <w:tcPr>
            <w:tcW w:type="dxa" w:w="635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Быстрое объяснение сути пакета для должностных лиц и политических руководителей.</w:t>
            </w:r>
          </w:p>
        </w:tc>
      </w:tr>
      <w:tr>
        <w:tc>
          <w:tcPr>
            <w:tcW w:type="dxa" w:w="283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Официальное обращение</w:t>
            </w:r>
          </w:p>
        </w:tc>
        <w:tc>
          <w:tcPr>
            <w:tcW w:type="dxa" w:w="635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Формальная подача в Правительство Республики Армения с просьбой о рассмотрении и запуске реформы.</w:t>
            </w:r>
          </w:p>
        </w:tc>
      </w:tr>
      <w:tr>
        <w:tc>
          <w:tcPr>
            <w:tcW w:type="dxa" w:w="283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Открытое письмо</w:t>
            </w:r>
          </w:p>
        </w:tc>
        <w:tc>
          <w:tcPr>
            <w:tcW w:type="dxa" w:w="635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Публичная политико-правовая формулировка инициативы.</w:t>
            </w:r>
          </w:p>
        </w:tc>
      </w:tr>
      <w:tr>
        <w:tc>
          <w:tcPr>
            <w:tcW w:type="dxa" w:w="283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Шаблон сопроводительного письма / e-mail</w:t>
            </w:r>
          </w:p>
        </w:tc>
        <w:tc>
          <w:tcPr>
            <w:tcW w:type="dxa" w:w="635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Короткая версия для электронной или бумажной отправки.</w:t>
            </w:r>
          </w:p>
        </w:tc>
      </w:tr>
      <w:tr>
        <w:tc>
          <w:tcPr>
            <w:tcW w:type="dxa" w:w="2835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Тезисы и ответы на вопросы</w:t>
            </w:r>
          </w:p>
        </w:tc>
        <w:tc>
          <w:tcPr>
            <w:tcW w:type="dxa" w:w="6350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Материал для встреч, интервью и общественных обсуждений.</w:t>
            </w:r>
          </w:p>
        </w:tc>
      </w:tr>
    </w:tbl>
    <w:p>
      <w:r>
        <w:rPr>
          <w:rFonts w:ascii="Arial" w:hAnsi="Arial" w:eastAsia="Arial" w:cs="Arial"/>
        </w:rPr>
      </w:r>
    </w:p>
    <w:p>
      <w:pPr>
        <w:pStyle w:val="Heading1Custom"/>
      </w:pPr>
      <w:r>
        <w:rPr>
          <w:rFonts w:ascii="Arial" w:hAnsi="Arial" w:eastAsia="Arial" w:cs="Arial"/>
        </w:rPr>
        <w:t>3. Исполнительное резюме</w:t>
      </w:r>
    </w:p>
    <w:p>
      <w:pPr/>
      <w:r>
        <w:rPr>
          <w:rFonts w:ascii="Arial" w:hAnsi="Arial" w:eastAsia="Arial" w:cs="Arial"/>
        </w:rPr>
        <w:t>Инициатива предлагает для Республики Армения две взаимодополняющие модели защищённого статуса для релокантов и иных интегрированных лиц, проживающих в Армении не менее шести месяцев.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Модель 1 — временное гражданство на три года. Это переходный статус, максимально близкий к гражданству по правам, но без участия в выборах и референдумах. Он даёт право в течение срока статуса обратиться за полным гражданством Армении.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Модель 2 — специальная гражданская принадлежность. Это самостоятельный и более гибкий статус гражданской принадлежности, который также максимально приближает лицо к гражданству по набору повседневных прав, но конструктивно отделён от полного гражданства.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Сквозная гарантия — конституционная защита. Конституционный пакет предлагает закрепить конституционную гарантию защиты граждан, лиц со временным гражданством и лиц со специальной гражданской принадлежностью от выдачи любому иностранному государству.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Институциональная поддержка — НКО релокантов. Для сопровождения реформы, сбора кейсов, экспертизы и поддержки заявителей создаётся отдельная некоммерческая организация.</w:t>
      </w:r>
    </w:p>
    <w:p>
      <w:pPr/>
      <w:r>
        <w:rPr>
          <w:rFonts w:ascii="Arial" w:hAnsi="Arial" w:eastAsia="Arial" w:cs="Arial"/>
        </w:rPr>
        <w:t>Политическая ценность инициативы для Армении состоит в том, что она удерживает человеческий капитал, поддерживает экономику, укрепляет международную репутацию страны и превращает фактическую интеграцию людей в прозрачный, законный и управляемый правовой режим.</w:t>
      </w:r>
    </w:p>
    <w:p>
      <w:pPr>
        <w:pStyle w:val="Heading1Custom"/>
      </w:pPr>
      <w:r>
        <w:rPr>
          <w:rFonts w:ascii="Arial" w:hAnsi="Arial" w:eastAsia="Arial" w:cs="Arial"/>
        </w:rPr>
        <w:t>4. Официальное обращение в Правительство Республики Армения</w:t>
      </w:r>
    </w:p>
    <w:p>
      <w:pPr>
        <w:pStyle w:val="Heading2Custom"/>
      </w:pPr>
      <w:r>
        <w:rPr>
          <w:rFonts w:ascii="Arial" w:hAnsi="Arial" w:eastAsia="Arial" w:cs="Arial"/>
        </w:rPr>
        <w:t>Адресат: Премьер-министру Республики Армения Николу Пашиняну</w:t>
      </w:r>
    </w:p>
    <w:p>
      <w:pPr>
        <w:pStyle w:val="SmallGray"/>
      </w:pPr>
      <w:r>
        <w:rPr>
          <w:rFonts w:ascii="Arial" w:hAnsi="Arial" w:eastAsia="Arial" w:cs="Arial"/>
        </w:rPr>
        <w:t>Копия: Президенту Республики Армения Ваагну Хачатуряну; Председателю Национального Собрания; профильным министерствам и комиссиям</w:t>
      </w:r>
    </w:p>
    <w:p>
      <w:pPr/>
      <w:r>
        <w:rPr>
          <w:rFonts w:ascii="Arial" w:hAnsi="Arial" w:eastAsia="Arial" w:cs="Arial"/>
        </w:rPr>
        <w:t>Уважаемый господин Премьер-министр,</w:t>
      </w:r>
    </w:p>
    <w:p>
      <w:pPr/>
      <w:r>
        <w:rPr>
          <w:rFonts w:ascii="Arial" w:hAnsi="Arial" w:eastAsia="Arial" w:cs="Arial"/>
        </w:rPr>
        <w:t>Настоящим направляем на рассмотрение пакет правовой инициативы, направленной на создание в Республике Армения новых защищённых статусов для интегрированных релокантов и иных лиц, законно проживающих в стране не менее шести месяцев.</w:t>
      </w:r>
    </w:p>
    <w:p>
      <w:pPr/>
      <w:r>
        <w:rPr>
          <w:rFonts w:ascii="Arial" w:hAnsi="Arial" w:eastAsia="Arial" w:cs="Arial"/>
        </w:rPr>
        <w:t>Пакет включает: (1) проект конституционных поправок; (2) проект закона о временном гражданстве Республики Армения; (3) проект закона о специальной гражданской принадлежности Республики Армения; (4) предложения о сопутствующих изменениях в законодательство; (5) концепцию НКО релокантов как институционального партнёра реформы.</w:t>
      </w:r>
    </w:p>
    <w:p>
      <w:pPr/>
      <w:r>
        <w:rPr>
          <w:rFonts w:ascii="Arial" w:hAnsi="Arial" w:eastAsia="Arial" w:cs="Arial"/>
        </w:rPr>
        <w:t>Просим Правительство Республики Армения: а) принять пакет к рассмотрению; б) организовать межведомственное обсуждение с участием заинтересованных органов; в) оценить возможность поддержки конституционного и законодательного маршрута; г) рассмотреть модели временного гражданства и гражданской принадлежности как самостоятельные проекты с выбором одного из них либо как параллельный двухконтурный пакет; д) рассмотреть вопрос о создании рабочей группы с участием гражданского общества и профильных экспертов.</w:t>
      </w:r>
    </w:p>
    <w:p>
      <w:pPr/>
      <w:r>
        <w:rPr>
          <w:rFonts w:ascii="Arial" w:hAnsi="Arial" w:eastAsia="Arial" w:cs="Arial"/>
        </w:rPr>
        <w:t>Считаем, что предложенная реформа отвечает интересам Республики Армения, поскольку создаёт прозрачный и управляемый механизм удержания человеческого капитала, защищает уже интегрированных лиц от правовой неопределённости и укрепляет имидж Армении как правового и гуманного государства.</w:t>
      </w:r>
    </w:p>
    <w:p>
      <w:pPr/>
      <w:r>
        <w:rPr>
          <w:rFonts w:ascii="Arial" w:hAnsi="Arial" w:eastAsia="Arial" w:cs="Arial"/>
        </w:rPr>
        <w:t>Отдельно обращаем внимание на просьбу закрепить на конституционном уровне конституционную гарантию защиты граждан Республики Армения, лиц со временным гражданством и лиц со специальной гражданской принадлежностью от выдачи любому иностранному государству.</w:t>
      </w:r>
    </w:p>
    <w:p>
      <w:pPr/>
      <w:r>
        <w:rPr>
          <w:rFonts w:ascii="Arial" w:hAnsi="Arial" w:eastAsia="Arial" w:cs="Arial"/>
        </w:rPr>
        <w:t>Приложения: полный пакет проектов и пояснительных материалов.</w:t>
      </w:r>
    </w:p>
    <w:p>
      <w:pPr>
        <w:pStyle w:val="Heading1Custom"/>
      </w:pPr>
      <w:r>
        <w:rPr>
          <w:rFonts w:ascii="Arial" w:hAnsi="Arial" w:eastAsia="Arial" w:cs="Arial"/>
        </w:rPr>
        <w:t>5. Открытое письмо Премьер-министру Республики Армения</w:t>
      </w:r>
    </w:p>
    <w:p>
      <w:r>
        <w:rPr>
          <w:rFonts w:ascii="Arial" w:hAnsi="Arial" w:eastAsia="Arial" w:cs="Arial"/>
        </w:rPr>
        <w:t>Уважаемый господин Премьер-министр!</w:t>
      </w:r>
    </w:p>
    <w:p>
      <w:r>
        <w:rPr>
          <w:rFonts w:ascii="Arial" w:hAnsi="Arial" w:eastAsia="Arial" w:cs="Arial"/>
        </w:rPr>
        <w:t>Мы обращаемся к Вам с предложением рассмотреть пакет решений, направленных на более глубокую и управляемую интеграцию в армянское общество тех людей, которые уже живут в Республике Армения, работают здесь, открывают компании, инвестируют в экономику и связывают с Арменией свою долгосрочную жизненную перспективу.</w:t>
      </w:r>
    </w:p>
    <w:p>
      <w:r>
        <w:rPr>
          <w:rFonts w:ascii="Arial" w:hAnsi="Arial" w:eastAsia="Arial" w:cs="Arial"/>
        </w:rPr>
        <w:t>За последние годы в Армении сформировалось заметное сообщество высококвалифицированных специалистов, предпринимателей, врачей, инженеров, преподавателей, исследователей и представителей цифровой экономики, прибывших из разных государств в поиске безопасной, предсказуемой и правовой среды для жизни и труда. Эти люди снимают и приобретают жильё, переводят команды, создают рабочие места, открывают новые направления бизнеса, пользуются местными услугами и расширяют профессиональные связи Армении.</w:t>
      </w:r>
    </w:p>
    <w:p>
      <w:r>
        <w:rPr>
          <w:rFonts w:ascii="Arial" w:hAnsi="Arial" w:eastAsia="Arial" w:cs="Arial"/>
        </w:rPr>
        <w:t>При этом отсутствие ускоренного и юридически определённого маршрута к устойчивому защищённому статусу сдерживает полноту их интеграции. Сохраняется ощущение правовой временности, которое затрудняет перевод семей, расширение бизнеса, локализацию доходов и налоговой базы, долгосрочные инвестиции и окончательное закрепление в армянской юрисдикции. Психологически это выражается в постоянном чувстве неустойчивости даже у тех, кто фактически уже сделал выбор в пользу жизни в Армении.</w:t>
      </w:r>
    </w:p>
    <w:p>
      <w:r>
        <w:rPr>
          <w:rFonts w:ascii="Arial" w:hAnsi="Arial" w:eastAsia="Arial" w:cs="Arial"/>
        </w:rPr>
        <w:t>Именно поэтому предлагаются два правовых инструмента: временное гражданство Республики Армения сроком на три года для лиц, проживших в стране не менее шести месяцев, и гражданская принадлежность Республики Армения как самостоятельный статус, максимально приближённый к гражданству по объёму повседневных прав. Эти решения могут быть рассмотрены государством как два самостоятельных варианта с выбором одного либо как параллельные взаимодополняющие механизмы правовой интеграции.</w:t>
      </w:r>
    </w:p>
    <w:p>
      <w:r>
        <w:rPr>
          <w:rFonts w:ascii="Arial" w:hAnsi="Arial" w:eastAsia="Arial" w:cs="Arial"/>
        </w:rPr>
        <w:t>Для Республики Армения это решение несёт прямую государственную пользу. Оно укрепляет налоговую базу, ускоряет локализацию бизнеса, повышает занятость, стимулирует инвестиции, усиливает здравоохранение, высокотехнологичный сектор, образование и сервисную экономику, а также закрепляет за Арменией репутацию современного государства, способного превращать человеческий капитал в долгосрочное развитие.</w:t>
      </w:r>
    </w:p>
    <w:p>
      <w:r>
        <w:rPr>
          <w:rFonts w:ascii="Arial" w:hAnsi="Arial" w:eastAsia="Arial" w:cs="Arial"/>
        </w:rPr>
        <w:t>Мы обращаемся именно к Вам, поскольку значительная часть сообщества релокантов осознанно связала своё решение жить в Армении с тем государственным и политическим вектором, который проводится под Вашим руководством. Для нас принципиально важны курс на правовое государство, институциональную предсказуемость, уважение к человеческому достоинству, открытость миру, модернизацию и мирное развитие страны. Мы воспринимаем себя как людей, готовых своим трудом, предпринимательской инициативой, профессиональной деятельностью и будущей гражданской интеграцией укреплять именно этот курс Армении.</w:t>
      </w:r>
    </w:p>
    <w:p>
      <w:r>
        <w:rPr>
          <w:rFonts w:ascii="Arial" w:hAnsi="Arial" w:eastAsia="Arial" w:cs="Arial"/>
        </w:rPr>
        <w:t>Просим Вас поддержать запуск межведомственного обсуждения пакета, поручить подготовку официальной армяноязычной версии проектов и рассмотреть вопрос о последовательном продвижении одного из предложенных статусов либо их параллельного введения. Считаем, что данный шаг будет одновременно гуманным, государственно выгодным и политически созвучным тому пути развития, который сегодня ассоциируется с современной Арменией.</w:t>
      </w:r>
    </w:p>
    <w:p>
      <w:r>
        <w:rPr>
          <w:rFonts w:ascii="Arial" w:hAnsi="Arial" w:eastAsia="Arial" w:cs="Arial"/>
        </w:rPr>
        <w:t>С уважением,</w:t>
      </w:r>
    </w:p>
    <w:p>
      <w:r>
        <w:rPr>
          <w:rFonts w:ascii="Arial" w:hAnsi="Arial" w:eastAsia="Arial" w:cs="Arial"/>
        </w:rPr>
        <w:t>инициаторы и сторонники пакета реформы.</w:t>
      </w:r>
    </w:p>
    <w:p>
      <w:pPr>
        <w:pStyle w:val="Heading1Custom"/>
      </w:pPr>
      <w:r>
        <w:rPr>
          <w:rFonts w:ascii="Arial" w:hAnsi="Arial" w:eastAsia="Arial" w:cs="Arial"/>
        </w:rPr>
        <w:t>6. Короткая сопроводительная формула для e-mail или бумажного письма</w:t>
      </w:r>
    </w:p>
    <w:p>
      <w:pPr/>
      <w:r>
        <w:rPr>
          <w:rFonts w:ascii="Arial" w:hAnsi="Arial" w:eastAsia="Arial" w:cs="Arial"/>
        </w:rPr>
        <w:t>Направляем на рассмотрение пакет правовой инициативы о введении в Республике Армения временного гражданства и специальной гражданской принадлежности для интегрированных релокантов, а также о закреплении конституционной гарантии защиты защищённых категорий лиц. Просим рассмотреть возможность межведомственного обсуждения и создания рабочей группы.</w:t>
      </w:r>
    </w:p>
    <w:p>
      <w:pPr>
        <w:pStyle w:val="Heading1Custom"/>
      </w:pPr>
      <w:r>
        <w:rPr>
          <w:rFonts w:ascii="Arial" w:hAnsi="Arial" w:eastAsia="Arial" w:cs="Arial"/>
        </w:rPr>
        <w:t>7. Тезисы для встреч и выступлений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это не миграционная уступка, а управляемый правовой режим для уже интегрированных и проверенных лиц;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инициатива не меняет политический баланс, поскольку не даёт права голосовать и участвовать в референдумах;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для Армении проект выгоден экономически, демографически и репутационно;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две модели статуса подготовлены так, чтобы государство могло выбрать одну из них либо запустить обе параллельно: как самостоятельные статусы с выбором одного маршрута или как единую двухконтурную реформу;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конституционная гарантия защиты защищённых категорий лиц — это вопрос правовой надёжности и доверия к армянской юрисдикции.</w:t>
      </w:r>
    </w:p>
    <w:p>
      <w:pPr>
        <w:pStyle w:val="Heading1Custom"/>
      </w:pPr>
      <w:r>
        <w:rPr>
          <w:rFonts w:ascii="Arial" w:hAnsi="Arial" w:eastAsia="Arial" w:cs="Arial"/>
        </w:rPr>
        <w:t>8. Ответы на ожидаемые вопросы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762"/>
        <w:gridCol w:w="4762"/>
      </w:tblGrid>
      <w:tr>
        <w:tc>
          <w:tcPr>
            <w:tcW w:type="dxa" w:w="3118"/>
            <w:shd w:fill="F5F7FA" w:color="auto" w:val="clear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Вопрос</w:t>
            </w:r>
          </w:p>
        </w:tc>
        <w:tc>
          <w:tcPr>
            <w:tcW w:type="dxa" w:w="6066"/>
            <w:shd w:fill="ECECEC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  <w:jc w:val="center"/>
            </w:pPr>
            <w:r>
              <w:rPr>
                <w:rFonts w:ascii="Arial" w:hAnsi="Arial" w:eastAsia="Arial" w:cs="Arial"/>
                <w:b/>
              </w:rPr>
              <w:t>Краткий ответ</w:t>
            </w:r>
          </w:p>
        </w:tc>
      </w:tr>
      <w:tr>
        <w:tc>
          <w:tcPr>
            <w:tcW w:type="dxa" w:w="3118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Почему не ограничиться обычным видом проживания?</w:t>
            </w:r>
          </w:p>
        </w:tc>
        <w:tc>
          <w:tcPr>
            <w:tcW w:type="dxa" w:w="606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Потому что обычное проживание не даёт той прочности и символической государственной защиты, которая нужна для решения проблемы правовой уязвимости.</w:t>
            </w:r>
          </w:p>
        </w:tc>
      </w:tr>
      <w:tr>
        <w:tc>
          <w:tcPr>
            <w:tcW w:type="dxa" w:w="3118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Почему нужны сразу две модели?</w:t>
            </w:r>
          </w:p>
        </w:tc>
        <w:tc>
          <w:tcPr>
            <w:tcW w:type="dxa" w:w="606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Чтобы у государства был выбор: временное гражданство как амбициозная модель и гражданская принадлежность как более гибкая резервная модель.</w:t>
            </w:r>
          </w:p>
        </w:tc>
      </w:tr>
      <w:tr>
        <w:tc>
          <w:tcPr>
            <w:tcW w:type="dxa" w:w="3118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Не приведёт ли это к вмешательству в политику?</w:t>
            </w:r>
          </w:p>
        </w:tc>
        <w:tc>
          <w:tcPr>
            <w:tcW w:type="dxa" w:w="606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Нет, поскольку проекты прямо исключают участие в выборах и референдумах.</w:t>
            </w:r>
          </w:p>
        </w:tc>
      </w:tr>
      <w:tr>
        <w:tc>
          <w:tcPr>
            <w:tcW w:type="dxa" w:w="3118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Может ли Армения заменить человеку паспорт его страны?</w:t>
            </w:r>
          </w:p>
        </w:tc>
        <w:tc>
          <w:tcPr>
            <w:tcW w:type="dxa" w:w="606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Нет. Армения может выдать собственный документ статуса и гарантировать возвращение в Армению, но не может заставить третьи государства признать этот документ вместо национального паспорта.</w:t>
            </w:r>
          </w:p>
        </w:tc>
      </w:tr>
      <w:tr>
        <w:tc>
          <w:tcPr>
            <w:tcW w:type="dxa" w:w="3118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color w:val="27303A"/>
                <w:sz w:val="21"/>
              </w:rPr>
              <w:t>Зачем нужен конституционный пакет?</w:t>
            </w:r>
          </w:p>
        </w:tc>
        <w:tc>
          <w:tcPr>
            <w:tcW w:type="dxa" w:w="6066"/>
            <w:vAlign w:val="center"/>
            <w:tcBorders>
              <w:left w:sz="6" w:val="single" w:color="B6B6B6"/>
              <w:top w:sz="6" w:val="single" w:color="B6B6B6"/>
              <w:right w:sz="6" w:val="single" w:color="B6B6B6"/>
              <w:bottom w:sz="6" w:val="single" w:color="B6B6B6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</w:rPr>
              <w:t>Без него нельзя надёжно закрепить абсолютный запрет выдачи и снизить риск конституционного конфликта по самой модели статуса.</w:t>
            </w:r>
          </w:p>
        </w:tc>
      </w:tr>
    </w:tbl>
    <w:p>
      <w:r>
        <w:rPr>
          <w:rFonts w:ascii="Arial" w:hAnsi="Arial" w:eastAsia="Arial" w:cs="Arial"/>
        </w:rPr>
      </w:r>
    </w:p>
    <w:p>
      <w:pPr>
        <w:pStyle w:val="Heading1Custom"/>
      </w:pPr>
      <w:r>
        <w:rPr>
          <w:rFonts w:ascii="Arial" w:hAnsi="Arial" w:eastAsia="Arial" w:cs="Arial"/>
        </w:rPr>
        <w:t>9. Рекомендуемые приложения к письмам и обращениям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исполнительное резюме на 1–2 страницы;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реестр самостоятельных пакетов;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конституционный пакет;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законодательные пакеты по двум статусам;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пакет НКО;</w:t>
      </w:r>
    </w:p>
    <w:p>
      <w:pPr>
        <w:spacing w:after="60"/>
        <w:ind w:left="340" w:hanging="198"/>
      </w:pPr>
      <w:r>
        <w:rPr>
          <w:rFonts w:ascii="Arial" w:hAnsi="Arial" w:eastAsia="Arial" w:cs="Arial"/>
        </w:rPr>
        <w:t>• лист официальных правовых опор.</w:t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</w:rPr>
        <w:t>Базовые официальные опоры пакета: Конституция Республики Армения (ARLIS, статьи 40, 47, 48, 55, 202); Закон Республики Армения «О гражданстве Республики Армения» (ARLIS, статьи 5, 9, 13, 26); Официальная страница МИД Армении о гражданстве; Официальная страница МИД Армении о special residency status; Официальная страница Правительства Республики Армения о структуре Правительства; Официальная страница Президента Республики Армения</w:t>
      </w:r>
    </w:p>
    <w:p>
      <w:pPr>
        <w:pStyle w:val="Heading1Custom"/>
      </w:pPr>
      <w:r>
        <w:rPr>
          <w:rFonts w:ascii="Arial" w:hAnsi="Arial" w:eastAsia="Arial" w:cs="Arial"/>
        </w:rPr>
        <w:t>10. Что именно получает Армения от корректно оформленного пакета обращений</w:t>
      </w:r>
    </w:p>
    <w:p>
      <w:pPr/>
      <w:r>
        <w:rPr>
          <w:rFonts w:ascii="Arial" w:hAnsi="Arial" w:eastAsia="Arial" w:cs="Arial"/>
        </w:rPr>
        <w:t>• для адресата обращения заранее и ясно разложено, какую экономическую, демографическую, правовую и политическую пользу получает Армения;</w:t>
      </w:r>
    </w:p>
    <w:p>
      <w:pPr/>
      <w:r>
        <w:rPr>
          <w:rFonts w:ascii="Arial" w:hAnsi="Arial" w:eastAsia="Arial" w:cs="Arial"/>
        </w:rPr>
        <w:t>• появляется готовый язык для переговоров с Правительством, Национальным Собранием, Администрацией Президента и медиа без разрыва между юридическим проектом и публичной кампанией;</w:t>
      </w:r>
    </w:p>
    <w:p>
      <w:pPr/>
      <w:r>
        <w:rPr>
          <w:rFonts w:ascii="Arial" w:hAnsi="Arial" w:eastAsia="Arial" w:cs="Arial"/>
        </w:rPr>
        <w:t>• открытое письмо и официальное обращение начинают работать как инструменты формирования общественного и политического мандата на реформу.</w:t>
      </w:r>
    </w:p>
    <w:p>
      <w:pPr>
        <w:pStyle w:val="Heading1Custom"/>
      </w:pPr>
      <w:r>
        <w:rPr>
          <w:rFonts w:ascii="Arial" w:hAnsi="Arial" w:eastAsia="Arial" w:cs="Arial"/>
        </w:rPr>
        <w:t>11. Временное гражданство и гражданская принадлежность: выбор одного статуса или параллельный запуск</w:t>
      </w:r>
    </w:p>
    <w:p>
      <w:pPr/>
      <w:r>
        <w:rPr>
          <w:rFonts w:ascii="Arial" w:hAnsi="Arial" w:eastAsia="Arial" w:cs="Arial"/>
        </w:rPr>
        <w:t>1. модель выбора одного статуса: государство вправе рассмотреть временное гражданство и гражданскую принадлежность как два самостоятельных проекта и принять только один из них;</w:t>
      </w:r>
    </w:p>
    <w:p>
      <w:pPr/>
      <w:r>
        <w:rPr>
          <w:rFonts w:ascii="Arial" w:hAnsi="Arial" w:eastAsia="Arial" w:cs="Arial"/>
        </w:rPr>
        <w:t>2. модель параллельного запуска: государство вправе одновременно принять оба статуса и предоставить заявителю или уполномоченному органу выбор наилучшего маршрута в зависимости от степени интеграции, семейной ситуации и публичного интереса;</w:t>
      </w:r>
    </w:p>
    <w:p>
      <w:pPr/>
      <w:r>
        <w:rPr>
          <w:rFonts w:ascii="Arial" w:hAnsi="Arial" w:eastAsia="Arial" w:cs="Arial"/>
        </w:rPr>
        <w:t>3. модель поэтапного введения: гражданская принадлежность запускается первой как более быстрый законодательный трек, а временное гражданство вводится после прохождения конституционного маршрута;</w:t>
      </w:r>
    </w:p>
    <w:p>
      <w:pPr/>
      <w:r>
        <w:rPr>
          <w:rFonts w:ascii="Arial" w:hAnsi="Arial" w:eastAsia="Arial" w:cs="Arial"/>
        </w:rPr>
        <w:t>4. в нормативных текстах целесообразно прямо закрепить, что наличие гражданской принадлежности не препятствует последующему обращению за временным гражданством или полным гражданством, если лицо соответствует установленным законом критериям.</w:t>
      </w:r>
    </w:p>
    <w:p>
      <w:pPr>
        <w:pStyle w:val="Heading1Custom"/>
      </w:pPr>
      <w:r>
        <w:rPr>
          <w:rFonts w:ascii="Arial" w:hAnsi="Arial" w:eastAsia="Arial" w:cs="Arial"/>
        </w:rPr>
        <w:t>12. Раздел общественной поддержки реформы и личной поддержки Премьер-министра Республики Армения</w:t>
      </w:r>
    </w:p>
    <w:p>
      <w:pPr/>
      <w:r>
        <w:rPr>
          <w:rFonts w:ascii="Arial" w:hAnsi="Arial" w:eastAsia="Arial" w:cs="Arial"/>
        </w:rPr>
        <w:t>Сообщество релокантов, поддерживающее реформу, выражает личную политическую поддержку Премьер-министру Республики Армения Николу Пашиняну как руководителю, при котором Армения сохранила открытость к реформам, институциональному диалогу и правовой интеграции новых жителей.</w:t>
      </w:r>
    </w:p>
    <w:p>
      <w:pPr/>
      <w:r>
        <w:rPr>
          <w:rFonts w:ascii="Arial" w:hAnsi="Arial" w:eastAsia="Arial" w:cs="Arial"/>
        </w:rPr>
        <w:t>Сообщество заявляет о желании двигаться вместе с Николом Пашиняном и его политической командой в следующих электоральных циклах и связывать с этим курсом своё долгосрочное будущее в Армении. До приобретения предусмотренных законом избирательных прав такая поддержка выражается в общественной, экспертной, публичной и организационной плоскости; после получения соответствующего статуса и прав — также в политическом процессе в пределах, допускаемых Конституцией и законами Республики Армения.</w:t>
      </w:r>
    </w:p>
    <w:p>
      <w:pPr>
        <w:pStyle w:val="QuoteBox"/>
        <w:shd w:fill="F6F7F9" w:val="clear" w:color="auto"/>
        <w:pBdr>
          <w:left w:val="single" w:sz="10" w:space="6" w:color="C9D0DA"/>
        </w:pBdr>
      </w:pPr>
      <w:r>
        <w:rPr>
          <w:rFonts w:ascii="Arial" w:hAnsi="Arial" w:eastAsia="Arial" w:cs="Arial"/>
        </w:rPr>
        <w:t>Готовая формула для публичного использования: «Сообщество релокантов поддерживает Премьер-министра Никола Пашиняна и его реформаторский курс, связывает своё долгосрочное будущее с Арменией и по мере получения предусмотренных законом прав готово двигаться вместе с ним и его командой в будущих выборах».</w:t>
      </w:r>
    </w:p>
    <w:sectPr w:rsidR="00FC693F" w:rsidRPr="0006063C" w:rsidSect="00034616">
      <w:footerReference w:type="default" r:id="rId9"/>
      <w:headerReference w:type="default" r:id="rId10"/>
      <w:pgSz w:w="11906" w:h="16838"/>
      <w:pgMar w:top="907" w:right="1020" w:bottom="907" w:left="1020" w:header="454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 w:line="240" w:lineRule="auto"/>
      <w:jc w:val="center"/>
      <w:pBdr>
        <w:top w:val="single" w:sz="8" w:space="6" w:color="D4DAE3"/>
      </w:pBdr>
    </w:pPr>
    <w:r>
      <w:rPr>
        <w:rFonts w:ascii="Arial" w:hAnsi="Arial" w:eastAsia="Arial" w:cs="Arial"/>
        <w:color w:val="7B8694"/>
        <w:sz w:val="18"/>
      </w:rPr>
      <w:t>Пакет 06 • Государственные обращения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10" w:line="276" w:lineRule="auto" w:before="0"/>
    </w:pPr>
    <w:rPr>
      <w:rFonts w:ascii="Arial" w:hAnsi="Arial" w:eastAsia="Arial" w:cs="Arial"/>
      <w:color w:val="222B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rial" w:hAnsi="Arial" w:eastAsia="Arial" w:cs="Arial"/>
      <w:b/>
      <w:bCs/>
      <w:color w:val="163F6D"/>
      <w:sz w:val="3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rial" w:hAnsi="Arial" w:eastAsia="Arial" w:cs="Arial"/>
      <w:b/>
      <w:bCs/>
      <w:color w:val="4F81BD" w:themeColor="accen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 w:eastAsia="Arial" w:cs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52" w:lineRule="auto" w:before="0"/>
      <w:contextualSpacing/>
    </w:pPr>
    <w:rPr>
      <w:rFonts w:asciiTheme="majorHAnsi" w:eastAsiaTheme="majorEastAsia" w:hAnsiTheme="majorHAnsi" w:cstheme="majorBidi" w:ascii="Arial" w:hAnsi="Arial" w:eastAsia="Arial" w:cs="Arial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60"/>
    </w:pPr>
    <w:rPr>
      <w:rFonts w:asciiTheme="majorHAnsi" w:eastAsiaTheme="majorEastAsia" w:hAnsiTheme="majorHAnsi" w:cstheme="majorBidi" w:ascii="Arial" w:hAnsi="Arial" w:eastAsia="Arial" w:cs="Arial"/>
      <w:i/>
      <w:iCs/>
      <w:color w:val="4F81BD" w:themeColor="accent1"/>
      <w:spacing w:val="15"/>
      <w:sz w:val="2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line="269" w:lineRule="auto" w:before="0" w:after="100"/>
      <w:ind w:left="720"/>
      <w:contextualSpacing/>
    </w:pPr>
    <w:rPr>
      <w:rFonts w:ascii="Arial" w:hAnsi="Arial" w:eastAsia="Arial" w:cs="Arial"/>
      <w:sz w:val="21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basedOn w:val="Normal"/>
    <w:pPr>
      <w:keepNext/>
      <w:spacing w:after="220" w:line="247" w:lineRule="auto" w:before="0"/>
      <w:jc w:val="center"/>
    </w:pPr>
    <w:rPr>
      <w:rFonts w:ascii="Times New Roman" w:hAnsi="Times New Roman" w:eastAsia="Times New Roman" w:cs="Times New Roman"/>
      <w:b/>
      <w:color w:val="7A1F2A"/>
      <w:sz w:val="50"/>
    </w:rPr>
  </w:style>
  <w:style w:type="paragraph" w:customStyle="1" w:styleId="SubtitleCustom">
    <w:name w:val="SubtitleCustom"/>
    <w:basedOn w:val="Normal"/>
    <w:pPr>
      <w:keepNext/>
      <w:spacing w:after="240" w:before="0" w:line="259" w:lineRule="auto"/>
      <w:jc w:val="center"/>
    </w:pPr>
    <w:rPr>
      <w:rFonts w:ascii="Times New Roman" w:hAnsi="Times New Roman" w:eastAsia="Times New Roman" w:cs="Times New Roman"/>
      <w:i/>
      <w:color w:val="5A5E66"/>
      <w:sz w:val="26"/>
    </w:rPr>
  </w:style>
  <w:style w:type="paragraph" w:customStyle="1" w:styleId="Heading1Custom">
    <w:name w:val="Heading1Custom"/>
    <w:basedOn w:val="Normal"/>
    <w:pPr>
      <w:keepNext/>
      <w:spacing w:before="320" w:after="140"/>
    </w:pPr>
    <w:rPr>
      <w:rFonts w:ascii="Arial" w:hAnsi="Arial" w:eastAsia="Arial" w:cs="Arial"/>
      <w:b/>
      <w:color w:val="7A1F2A"/>
      <w:sz w:val="38"/>
    </w:rPr>
  </w:style>
  <w:style w:type="paragraph" w:customStyle="1" w:styleId="Heading2Custom">
    <w:name w:val="Heading2Custom"/>
    <w:basedOn w:val="Normal"/>
    <w:pPr>
      <w:keepNext/>
      <w:spacing w:before="260" w:after="120"/>
    </w:pPr>
    <w:rPr>
      <w:rFonts w:ascii="Arial" w:hAnsi="Arial" w:eastAsia="Arial" w:cs="Arial"/>
      <w:b/>
      <w:color w:val="254F73"/>
      <w:sz w:val="28"/>
    </w:rPr>
  </w:style>
  <w:style w:type="paragraph" w:customStyle="1" w:styleId="SmallGray">
    <w:name w:val="SmallGray"/>
    <w:basedOn w:val="Normal"/>
    <w:pPr>
      <w:keepNext/>
      <w:spacing w:after="140" w:before="0" w:line="240" w:lineRule="auto"/>
      <w:jc w:val="center"/>
    </w:pPr>
    <w:rPr>
      <w:rFonts w:ascii="Arial" w:hAnsi="Arial" w:eastAsia="Arial" w:cs="Arial"/>
      <w:color w:val="6C7178"/>
      <w:sz w:val="21"/>
    </w:rPr>
  </w:style>
  <w:style w:type="paragraph" w:customStyle="1" w:styleId="QuoteBox">
    <w:name w:val="QuoteBox"/>
    <w:basedOn w:val="Normal"/>
    <w:pPr>
      <w:spacing w:after="180" w:before="160" w:line="276" w:lineRule="auto"/>
      <w:ind w:left="216" w:right="72"/>
    </w:pPr>
    <w:rPr>
      <w:rFonts w:ascii="Arial" w:hAnsi="Arial" w:eastAsia="Arial" w:cs="Arial"/>
      <w:color w:val="202834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