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ns1="http://schemas.openxmlformats.org/markup-compatibility/2006" xmlns:ns2="http://schemas.openxmlformats.org/officeDocument/2006/relationships" xmlns:w="http://schemas.openxmlformats.org/wordprocessingml/2006/main" ns1:Ignorable="w14 wp14">
  <w:body>
    <w:tbl>
      <w:tblPr>
        <w:tblW w:type="auto" w:w="0"/>
        <w:tblLook w:firstColumn="1" w:firstRow="1" w:lastColumn="0" w:lastRow="0" w:noHBand="0" w:noVBand="1" w:val="04A0"/>
        <w:tblCellMar>
          <w:top w:w="0" w:type="dxa"/>
          <w:start w:w="0" w:type="dxa"/>
          <w:bottom w:w="0" w:type="dxa"/>
          <w:end w:w="0" w:type="dxa"/>
        </w:tblCellMar>
        <w:jc w:val="center"/>
        <w:tblBorders>
          <w:top w:val="nil" w:sz="0" w:space="0" w:color="C9CED6"/>
          <w:left w:val="nil" w:sz="0" w:space="0" w:color="C9CED6"/>
          <w:bottom w:val="nil" w:sz="0" w:space="0" w:color="C9CED6"/>
          <w:right w:val="nil" w:sz="0" w:space="0" w:color="C9CED6"/>
          <w:insideH w:val="nil" w:sz="0" w:space="0" w:color="C9CED6"/>
          <w:insideV w:val="nil" w:sz="0" w:space="0" w:color="C9CED6"/>
        </w:tblBorders>
      </w:tblPr>
      <w:tblGrid>
        <w:gridCol w:w="3175"/>
        <w:gridCol w:w="3175"/>
        <w:gridCol w:w="3175"/>
      </w:tblGrid>
      <w:tr>
        <w:tc>
          <w:tcPr>
            <w:tcW w:type="dxa" w:w="3175"/>
            <w:shd w:fill="D90012"/>
            <w:tcBorders>
              <w:top w:sz="0" w:val="nil" w:color="FFFFFF"/>
              <w:bottom w:sz="0" w:val="nil" w:color="FFFFFF"/>
              <w:left w:sz="0" w:val="nil" w:color="FFFFFF"/>
              <w:right w:sz="0" w:val="nil" w:color="FFFFFF"/>
            </w:tcBorders>
            <w:vAlign w:val="center"/>
          </w:tcPr>
          <w:p>
            <w:pPr>
              <w:spacing w:after="50" w:before="0" w:line="269" w:lineRule="auto"/>
            </w:pPr>
            <w:r>
              <w:rPr>
                <w:rFonts w:ascii="Arial" w:hAnsi="Arial" w:eastAsia="Arial" w:cs="Arial"/>
              </w:rPr>
              <w:t/>
            </w:r>
          </w:p>
        </w:tc>
        <w:tc>
          <w:tcPr>
            <w:tcW w:type="dxa" w:w="3175"/>
            <w:shd w:fill="0033A0"/>
            <w:tcBorders>
              <w:top w:sz="0" w:val="nil" w:color="FFFFFF"/>
              <w:bottom w:sz="0" w:val="nil" w:color="FFFFFF"/>
              <w:left w:sz="0" w:val="nil" w:color="FFFFFF"/>
              <w:right w:sz="0" w:val="nil" w:color="FFFFFF"/>
            </w:tcBorders>
            <w:vAlign w:val="center"/>
          </w:tcPr>
          <w:p>
            <w:pPr>
              <w:spacing w:after="50" w:before="0" w:line="269" w:lineRule="auto"/>
            </w:pPr>
            <w:r>
              <w:rPr>
                <w:rFonts w:ascii="Arial" w:hAnsi="Arial" w:eastAsia="Arial" w:cs="Arial"/>
              </w:rPr>
              <w:t/>
            </w:r>
          </w:p>
        </w:tc>
        <w:tc>
          <w:tcPr>
            <w:tcW w:type="dxa" w:w="3175"/>
            <w:shd w:fill="F2A800"/>
            <w:tcBorders>
              <w:top w:sz="0" w:val="nil" w:color="FFFFFF"/>
              <w:bottom w:sz="0" w:val="nil" w:color="FFFFFF"/>
              <w:left w:sz="0" w:val="nil" w:color="FFFFFF"/>
              <w:right w:sz="0" w:val="nil" w:color="FFFFFF"/>
            </w:tcBorders>
            <w:vAlign w:val="center"/>
          </w:tcPr>
          <w:p>
            <w:pPr>
              <w:spacing w:after="50" w:before="0" w:line="269" w:lineRule="auto"/>
            </w:pPr>
            <w:r>
              <w:rPr>
                <w:rFonts w:ascii="Arial" w:hAnsi="Arial" w:eastAsia="Arial" w:cs="Arial"/>
              </w:rPr>
              <w:t/>
            </w:r>
          </w:p>
        </w:tc>
      </w:tr>
    </w:tbl>
    <w:p>
      <w:r>
        <w:rPr>
          <w:rFonts w:ascii="Arial" w:hAnsi="Arial" w:eastAsia="Arial" w:cs="Arial"/>
        </w:rPr>
        <w:t/>
      </w:r>
    </w:p>
    <w:p>
      <w:pPr>
        <w:pStyle w:val="SmallGray"/>
        <w:jc w:val="center"/>
      </w:pPr>
      <w:r>
        <w:rPr>
          <w:rFonts w:ascii="Arial" w:hAnsi="Arial" w:eastAsia="Arial" w:cs="Arial"/>
        </w:rPr>
        <w:t>PACKAGE 01 • WORKING RUSSIAN LANGUAGE EDITION FOR STATE REPRESENTATION</w:t>
      </w:r>
    </w:p>
    <w:p>
      <w:pPr>
        <w:pStyle w:val="TitleCustom"/>
        <w:jc w:val="center"/>
      </w:pPr>
      <w:r>
        <w:rPr>
          <w:rFonts w:ascii="Arial" w:hAnsi="Arial" w:eastAsia="Arial" w:cs="Arial"/>
        </w:rPr>
        <w:t>Register of individual packages of documents</w:t>
      </w:r>
    </w:p>
    <w:p>
      <w:pPr>
        <w:pStyle w:val="SubtitleCustom"/>
        <w:jc w:val="center"/>
      </w:pPr>
      <w:r>
        <w:rPr>
          <w:rFonts w:ascii="Arial" w:hAnsi="Arial" w:eastAsia="Arial" w:cs="Arial"/>
        </w:rPr>
        <w:t>A set of self-contained packages for presenting the initiative on temporary citizenship, special citizenship, non-extradition and NGO relocants in the Republic of Armenia</w:t>
      </w:r>
    </w:p>
    <w:tbl>
      <w:tblPr>
        <w:tblW w:type="auto" w:w="0"/>
        <w:tblLook w:firstColumn="1" w:firstRow="1" w:lastColumn="0" w:lastRow="0" w:noHBand="0" w:noVBand="1" w:val="04A0"/>
        <w:tblCellMar>
          <w:top w:w="85" w:type="dxa"/>
          <w:start w:w="100" w:type="dxa"/>
          <w:bottom w:w="85" w:type="dxa"/>
          <w:end w:w="100" w:type="dxa"/>
        </w:tblCellMar>
        <w:jc w:val="center"/>
        <w:tblBorders>
          <w:top w:val="single" w:sz="6" w:space="0" w:color="BCC4CE"/>
          <w:left w:val="single" w:sz="6" w:space="0" w:color="BCC4CE"/>
          <w:bottom w:val="single" w:sz="6" w:space="0" w:color="BCC4CE"/>
          <w:right w:val="single" w:sz="6" w:space="0" w:color="BCC4CE"/>
          <w:insideH w:val="single" w:sz="6" w:space="0" w:color="BCC4CE"/>
          <w:insideV w:val="single" w:sz="6" w:space="0" w:color="BCC4CE"/>
        </w:tblBorders>
      </w:tblPr>
      <w:tblGrid>
        <w:gridCol w:w="2268"/>
        <w:gridCol w:w="6520"/>
      </w:tblGrid>
      <w:tr>
        <w:tc>
          <w:tcPr>
            <w:tcW w:type="dxa" w:w="4762"/>
            <w:vAlign w:val="center"/>
            <w:tcBorders>
              <w:left w:sz="6" w:val="single" w:color="B6B6B6"/>
              <w:top w:sz="6" w:val="single" w:color="B6B6B6"/>
              <w:right w:sz="6" w:val="single" w:color="B6B6B6"/>
              <w:bottom w:sz="6" w:val="single" w:color="B6B6B6"/>
            </w:tcBorders>
            <w:shd w:fill="F1ECE6" w:color="auto" w:val="clear"/>
          </w:tcPr>
          <w:p>
            <w:pPr>
              <w:spacing w:after="50" w:before="0" w:line="269" w:lineRule="auto"/>
            </w:pPr>
            <w:r>
              <w:rPr>
                <w:rFonts w:ascii="Arial" w:hAnsi="Arial" w:eastAsia="Arial" w:cs="Arial"/>
                <w:b/>
                <w:color w:val="27303A"/>
                <w:sz w:val="22"/>
              </w:rPr>
              <w:t>Date</w:t>
            </w:r>
          </w:p>
        </w:tc>
        <w:tc>
          <w:tcPr>
            <w:tcW w:type="dxa" w:w="4762"/>
            <w:vAlign w:val="center"/>
            <w:tcBorders>
              <w:left w:sz="6" w:val="single" w:color="B6B6B6"/>
              <w:top w:sz="6" w:val="single" w:color="B6B6B6"/>
              <w:right w:sz="6" w:val="single" w:color="B6B6B6"/>
              <w:bottom w:sz="6" w:val="single" w:color="B6B6B6"/>
            </w:tcBorders>
          </w:tcPr>
          <w:p>
            <w:pPr>
              <w:spacing w:after="50" w:before="0" w:line="269" w:lineRule="auto"/>
            </w:pPr>
            <w:r>
              <w:rPr>
                <w:rFonts w:ascii="Arial" w:hAnsi="Arial" w:eastAsia="Arial" w:cs="Arial"/>
                <w:color w:val="222B36"/>
                <w:sz w:val="22"/>
              </w:rPr>
              <w:t>March 28, 2026</w:t>
            </w:r>
          </w:p>
        </w:tc>
      </w:tr>
      <w:tr>
        <w:tc>
          <w:tcPr>
            <w:tcW w:type="dxa" w:w="4762"/>
            <w:vAlign w:val="center"/>
            <w:tcBorders>
              <w:left w:sz="6" w:val="single" w:color="B6B6B6"/>
              <w:top w:sz="6" w:val="single" w:color="B6B6B6"/>
              <w:right w:sz="6" w:val="single" w:color="B6B6B6"/>
              <w:bottom w:sz="6" w:val="single" w:color="B6B6B6"/>
            </w:tcBorders>
            <w:shd w:fill="F1ECE6" w:color="auto" w:val="clear"/>
          </w:tcPr>
          <w:p>
            <w:pPr>
              <w:spacing w:after="50" w:before="0" w:line="269" w:lineRule="auto"/>
            </w:pPr>
            <w:r>
              <w:rPr>
                <w:rFonts w:ascii="Arial" w:hAnsi="Arial" w:eastAsia="Arial" w:cs="Arial"/>
                <w:b/>
                <w:color w:val="27303A"/>
                <w:sz w:val="22"/>
              </w:rPr>
              <w:t>Status</w:t>
            </w:r>
          </w:p>
        </w:tc>
        <w:tc>
          <w:tcPr>
            <w:tcW w:type="dxa" w:w="4762"/>
            <w:vAlign w:val="center"/>
            <w:tcBorders>
              <w:left w:sz="6" w:val="single" w:color="B6B6B6"/>
              <w:top w:sz="6" w:val="single" w:color="B6B6B6"/>
              <w:right w:sz="6" w:val="single" w:color="B6B6B6"/>
              <w:bottom w:sz="6" w:val="single" w:color="B6B6B6"/>
            </w:tcBorders>
          </w:tcPr>
          <w:p>
            <w:pPr>
              <w:spacing w:after="50" w:before="0" w:line="269" w:lineRule="auto"/>
            </w:pPr>
            <w:r>
              <w:rPr>
                <w:rFonts w:ascii="Arial" w:hAnsi="Arial" w:eastAsia="Arial" w:cs="Arial"/>
                <w:color w:val="222B36"/>
                <w:sz w:val="22"/>
              </w:rPr>
              <w:t>Prepared work package for state presentation, submission and subsequent Armenian-language legal and technical adaptation</w:t>
            </w:r>
          </w:p>
        </w:tc>
      </w:tr>
    </w:tbl>
    <w:p>
      <w:r>
        <w:rPr>
          <w:rFonts w:ascii="Arial" w:hAnsi="Arial" w:eastAsia="Arial" w:cs="Arial"/>
        </w:rPr>
        <w:t/>
      </w:r>
    </w:p>
    <w:p>
      <w:pPr>
        <w:pStyle w:val="QuoteBox"/>
        <w:shd w:fill="F6F7F9" w:val="clear" w:color="auto"/>
        <w:pBdr>
          <w:left w:val="single" w:sz="10" w:space="6" w:color="C9D0DA"/>
        </w:pBdr>
      </w:pPr>
      <w:r>
        <w:rPr>
          <w:rFonts w:ascii="Arial" w:hAnsi="Arial" w:eastAsia="Arial" w:cs="Arial"/>
          <w:b/>
        </w:rPr>
        <w:t xml:space="preserve">Note. All projects are compiled in Russian as a working version for state presentation. For official submission to the bodies of the Republic of Armenia, a parallel Armenian-language legal-technical edition and final verification with the current versions of acts in ARLIS are required.</w:t>
      </w:r>
      <w:r>
        <w:rPr>
          <w:rFonts w:ascii="Arial" w:hAnsi="Arial" w:eastAsia="Arial" w:cs="Arial"/>
        </w:rPr>
        <w:t/>
      </w:r>
    </w:p>
    <w:p>
      <w:r>
        <w:rPr>
          <w:rFonts w:ascii="Arial" w:hAnsi="Arial" w:eastAsia="Arial" w:cs="Arial"/>
        </w:rPr>
        <w:br w:type="page"/>
      </w:r>
      <w:r>
        <w:rPr>
          <w:rFonts w:ascii="Arial" w:hAnsi="Arial" w:eastAsia="Arial" w:cs="Arial"/>
        </w:rPr>
        <w:t>
</w:t>
      </w:r>
    </w:p>
    <w:p>
      <w:pPr>
        <w:pStyle w:val="Heading1Custom"/>
      </w:pPr>
      <w:r>
        <w:rPr>
          <w:rFonts w:ascii="Arial" w:hAnsi="Arial" w:eastAsia="Arial" w:cs="Arial"/>
        </w:rPr>
        <w:t>1. Purpose of the registry</w:t>
      </w:r>
    </w:p>
    <w:p>
      <w:pPr/>
      <w:r>
        <w:rPr>
          <w:rFonts w:ascii="Arial" w:hAnsi="Arial" w:eastAsia="Arial" w:cs="Arial"/>
        </w:rPr>
        <w:t>This register brings together into a single system all independent packages of documents prepared for the state presentation of the initiative. It is needed so that each area of ​​work can be submitted, discussed and finalized separately: a constitutional block, a law on temporary citizenship, an independent law on special citizenship, an NGO package and a package of official appeals.</w:t>
      </w:r>
    </w:p>
    <w:p>
      <w:pPr/>
      <w:r>
        <w:rPr>
          <w:rFonts w:ascii="Arial" w:hAnsi="Arial" w:eastAsia="Arial" w:cs="Arial"/>
        </w:rPr>
        <w:t xml:space="preserve">The key principle of building packages is that each package should be self-contained. Inside each document, not only draft acts are already built in, but also accompanying materials: goals, motives, advantages, expected effects, risks, legal disclaimers, proposals for related changes and a list of appendices.</w:t>
      </w:r>
      <w:r>
        <w:rPr>
          <w:rFonts w:ascii="Arial" w:hAnsi="Arial" w:eastAsia="Arial" w:cs="Arial"/>
          <w:b/>
        </w:rPr>
        <w:t/>
      </w:r>
      <w:r>
        <w:rPr>
          <w:rFonts w:ascii="Arial" w:hAnsi="Arial" w:eastAsia="Arial" w:cs="Arial"/>
        </w:rPr>
        <w:t/>
      </w:r>
    </w:p>
    <w:p>
      <w:pPr>
        <w:pStyle w:val="Heading1Custom"/>
      </w:pPr>
      <w:r>
        <w:rPr>
          <w:rFonts w:ascii="Arial" w:hAnsi="Arial" w:eastAsia="Arial" w:cs="Arial"/>
        </w:rPr>
        <w:t>2. Map of independent packages</w:t>
      </w:r>
    </w:p>
    <w:tbl>
      <w:tblPr>
        <w:tblStyle w:val="TableGrid"/>
        <w:tblW w:type="auto" w:w="0"/>
        <w:tblLayout w:type="fixed"/>
        <w:tblLook w:firstColumn="1" w:firstRow="1" w:lastColumn="0" w:lastRow="0" w:noHBand="0" w:noVBand="1" w:val="04A0"/>
        <w:tblCellMar>
          <w:top w:w="85" w:type="dxa"/>
          <w:start w:w="100" w:type="dxa"/>
          <w:bottom w:w="85" w:type="dxa"/>
          <w:end w:w="100" w:type="dxa"/>
        </w:tblCellMar>
        <w:jc w:val="center"/>
        <w:tblBorders>
          <w:top w:val="single" w:sz="5" w:space="0" w:color="C9CED6"/>
          <w:left w:val="single" w:sz="5" w:space="0" w:color="C9CED6"/>
          <w:bottom w:val="single" w:sz="5" w:space="0" w:color="C9CED6"/>
          <w:right w:val="single" w:sz="5" w:space="0" w:color="C9CED6"/>
          <w:insideH w:val="single" w:sz="5" w:space="0" w:color="C9CED6"/>
          <w:insideV w:val="single" w:sz="5" w:space="0" w:color="C9CED6"/>
        </w:tblBorders>
      </w:tblPr>
      <w:tblGrid>
        <w:gridCol w:w="3175"/>
        <w:gridCol w:w="3175"/>
        <w:gridCol w:w="3175"/>
      </w:tblGrid>
      <w:tr>
        <w:tc>
          <w:tcPr>
            <w:tcW w:type="dxa" w:w="737"/>
            <w:shd w:fill="E9E3DC" w:color="auto" w:val="clear"/>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0" w:before="0" w:line="269" w:lineRule="auto"/>
              <w:jc w:val="center"/>
            </w:pPr>
            <w:r>
              <w:rPr>
                <w:rFonts w:ascii="Arial" w:hAnsi="Arial" w:eastAsia="Arial" w:cs="Arial"/>
                <w:b/>
                <w:color w:val="1F2430"/>
                <w:sz w:val="22"/>
              </w:rPr>
              <w:t>№</w:t>
            </w:r>
          </w:p>
        </w:tc>
        <w:tc>
          <w:tcPr>
            <w:tcW w:type="dxa" w:w="3345"/>
            <w:shd w:fill="E9E3DC" w:color="auto" w:val="clear"/>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0" w:before="0" w:line="269" w:lineRule="auto"/>
              <w:jc w:val="center"/>
            </w:pPr>
            <w:r>
              <w:rPr>
                <w:rFonts w:ascii="Arial" w:hAnsi="Arial" w:eastAsia="Arial" w:cs="Arial"/>
                <w:b/>
                <w:color w:val="1F2430"/>
                <w:sz w:val="22"/>
              </w:rPr>
              <w:t>Plastic bag</w:t>
            </w:r>
          </w:p>
        </w:tc>
        <w:tc>
          <w:tcPr>
            <w:tcW w:type="dxa" w:w="5159"/>
            <w:shd w:fill="E9E3DC" w:color="auto" w:val="clear"/>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0" w:before="0" w:line="269" w:lineRule="auto"/>
              <w:jc w:val="center"/>
            </w:pPr>
            <w:r>
              <w:rPr>
                <w:rFonts w:ascii="Arial" w:hAnsi="Arial" w:eastAsia="Arial" w:cs="Arial"/>
                <w:b/>
                <w:color w:val="1F2430"/>
                <w:sz w:val="22"/>
              </w:rPr>
              <w:t>Contents and purpose</w:t>
            </w:r>
          </w:p>
        </w:tc>
      </w:tr>
      <w:tr>
        <w:tc>
          <w:tcPr>
            <w:tcW w:type="dxa" w:w="737"/>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jc w:val="center"/>
            </w:pPr>
            <w:r>
              <w:rPr>
                <w:rFonts w:ascii="Arial" w:hAnsi="Arial" w:eastAsia="Arial" w:cs="Arial"/>
                <w:color w:val="222B36"/>
                <w:sz w:val="21"/>
              </w:rPr>
              <w:t>01</w:t>
            </w:r>
          </w:p>
        </w:tc>
        <w:tc>
          <w:tcPr>
            <w:tcW w:type="dxa" w:w="3345"/>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Registry and package map</w:t>
            </w:r>
          </w:p>
        </w:tc>
        <w:tc>
          <w:tcPr>
            <w:tcW w:type="dxa" w:w="515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General map of the reform, order of introduction, list of all kits and general legal disclaimers.</w:t>
            </w:r>
          </w:p>
        </w:tc>
      </w:tr>
      <w:tr>
        <w:tc>
          <w:tcPr>
            <w:tcW w:type="dxa" w:w="737"/>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jc w:val="center"/>
            </w:pPr>
            <w:r>
              <w:rPr>
                <w:rFonts w:ascii="Arial" w:hAnsi="Arial" w:eastAsia="Arial" w:cs="Arial"/>
                <w:color w:val="222B36"/>
                <w:sz w:val="21"/>
              </w:rPr>
              <w:t>02</w:t>
            </w:r>
          </w:p>
        </w:tc>
        <w:tc>
          <w:tcPr>
            <w:tcW w:type="dxa" w:w="3345"/>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Constitutional package</w:t>
            </w:r>
          </w:p>
        </w:tc>
        <w:tc>
          <w:tcPr>
            <w:tcW w:type="dxa" w:w="515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Amendments to the Constitution for temporary citizenship, special citizenship and absolute prohibition of extradition.</w:t>
            </w:r>
          </w:p>
        </w:tc>
      </w:tr>
      <w:tr>
        <w:tc>
          <w:tcPr>
            <w:tcW w:type="dxa" w:w="737"/>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jc w:val="center"/>
            </w:pPr>
            <w:r>
              <w:rPr>
                <w:rFonts w:ascii="Arial" w:hAnsi="Arial" w:eastAsia="Arial" w:cs="Arial"/>
                <w:color w:val="222B36"/>
                <w:sz w:val="21"/>
              </w:rPr>
              <w:t>03</w:t>
            </w:r>
          </w:p>
        </w:tc>
        <w:tc>
          <w:tcPr>
            <w:tcW w:type="dxa" w:w="3345"/>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Temporary citizenship package</w:t>
            </w:r>
          </w:p>
        </w:tc>
        <w:tc>
          <w:tcPr>
            <w:tcW w:type="dxa" w:w="515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Draft law, accompanying amendments, motives, benefits, risks and administration model.</w:t>
            </w:r>
          </w:p>
        </w:tc>
      </w:tr>
      <w:tr>
        <w:tc>
          <w:tcPr>
            <w:tcW w:type="dxa" w:w="737"/>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jc w:val="center"/>
            </w:pPr>
            <w:r>
              <w:rPr>
                <w:rFonts w:ascii="Arial" w:hAnsi="Arial" w:eastAsia="Arial" w:cs="Arial"/>
                <w:color w:val="222B36"/>
                <w:sz w:val="21"/>
              </w:rPr>
              <w:t>04</w:t>
            </w:r>
          </w:p>
        </w:tc>
        <w:tc>
          <w:tcPr>
            <w:tcW w:type="dxa" w:w="3345"/>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Special Citizenship Package</w:t>
            </w:r>
          </w:p>
        </w:tc>
        <w:tc>
          <w:tcPr>
            <w:tcW w:type="dxa" w:w="515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Citizenship, as close as possible to citizenship by rights, with a separate regulatory decision.</w:t>
            </w:r>
          </w:p>
        </w:tc>
      </w:tr>
      <w:tr>
        <w:tc>
          <w:tcPr>
            <w:tcW w:type="dxa" w:w="737"/>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jc w:val="center"/>
            </w:pPr>
            <w:r>
              <w:rPr>
                <w:rFonts w:ascii="Arial" w:hAnsi="Arial" w:eastAsia="Arial" w:cs="Arial"/>
                <w:color w:val="222B36"/>
                <w:sz w:val="21"/>
              </w:rPr>
              <w:t>05</w:t>
            </w:r>
          </w:p>
        </w:tc>
        <w:tc>
          <w:tcPr>
            <w:tcW w:type="dxa" w:w="3345"/>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Relocant NGO Package</w:t>
            </w:r>
          </w:p>
        </w:tc>
        <w:tc>
          <w:tcPr>
            <w:tcW w:type="dxa" w:w="515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Concept, mission, goals, draft charter, management model, work program and registration checklist.</w:t>
            </w:r>
          </w:p>
        </w:tc>
      </w:tr>
      <w:tr>
        <w:tc>
          <w:tcPr>
            <w:tcW w:type="dxa" w:w="737"/>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jc w:val="center"/>
            </w:pPr>
            <w:r>
              <w:rPr>
                <w:rFonts w:ascii="Arial" w:hAnsi="Arial" w:eastAsia="Arial" w:cs="Arial"/>
                <w:color w:val="222B36"/>
                <w:sz w:val="21"/>
              </w:rPr>
              <w:t>06</w:t>
            </w:r>
          </w:p>
        </w:tc>
        <w:tc>
          <w:tcPr>
            <w:tcW w:type="dxa" w:w="3345"/>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Package of state appeals and public campaign</w:t>
            </w:r>
          </w:p>
        </w:tc>
        <w:tc>
          <w:tcPr>
            <w:tcW w:type="dxa" w:w="515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color w:val="222B36"/>
                <w:sz w:val="21"/>
              </w:rPr>
              <w:t>Formal address, open letter, executive summary, presentation formulas and set of attachments.</w:t>
            </w:r>
          </w:p>
        </w:tc>
      </w:tr>
    </w:tbl>
    <w:p>
      <w:r>
        <w:rPr>
          <w:rFonts w:ascii="Arial" w:hAnsi="Arial" w:eastAsia="Arial" w:cs="Arial"/>
        </w:rPr>
        <w:t/>
      </w:r>
    </w:p>
    <w:p>
      <w:pPr>
        <w:pStyle w:val="Heading1Custom"/>
      </w:pPr>
      <w:r>
        <w:rPr>
          <w:rFonts w:ascii="Arial" w:hAnsi="Arial" w:eastAsia="Arial" w:cs="Arial"/>
        </w:rPr>
        <w:t>3. General logic of the reform</w:t>
      </w:r>
    </w:p>
    <w:p>
      <w:pPr>
        <w:spacing w:after="60"/>
        <w:ind w:left="340" w:hanging="198"/>
      </w:pPr>
      <w:r>
        <w:rPr>
          <w:rFonts w:ascii="Arial" w:hAnsi="Arial" w:eastAsia="Arial" w:cs="Arial"/>
          <w:b/>
        </w:rPr>
        <w:t xml:space="preserve">• Basic model 1 - temporary citizenship. After at least six months of legal residence, the person receives temporary citizenship for a period of three years, maintains ties to his or her state of origin, and is entitled to apply for full Armenian citizenship during this period.</w:t>
      </w:r>
      <w:r>
        <w:rPr>
          <w:rFonts w:ascii="Arial" w:hAnsi="Arial" w:eastAsia="Arial" w:cs="Arial"/>
          <w:b/>
        </w:rPr>
        <w:t/>
      </w:r>
      <w:r>
        <w:rPr>
          <w:rFonts w:ascii="Arial" w:hAnsi="Arial" w:eastAsia="Arial" w:cs="Arial"/>
        </w:rPr>
        <w:t xml:space="preserve"/>
      </w:r>
    </w:p>
    <w:p>
      <w:pPr>
        <w:spacing w:after="60"/>
        <w:ind w:left="340" w:hanging="198"/>
      </w:pPr>
      <w:r>
        <w:rPr>
          <w:rFonts w:ascii="Arial" w:hAnsi="Arial" w:eastAsia="Arial" w:cs="Arial"/>
        </w:rPr>
        <w:t>• Basic Model 2 - Special Citizenship. This is an independent and more flexible status of citizenship, as close as possible to citizenship in terms of the scope of everyday rights, but structurally separated from full citizenship.</w:t>
      </w:r>
    </w:p>
    <w:p>
      <w:pPr>
        <w:spacing w:after="60"/>
        <w:ind w:left="340" w:hanging="198"/>
      </w:pPr>
      <w:r>
        <w:rPr>
          <w:rFonts w:ascii="Arial" w:hAnsi="Arial" w:eastAsia="Arial" w:cs="Arial"/>
          <w:b/>
        </w:rPr>
        <w:t xml:space="preserve">• End-to-end constitutional guarantee - non-rendition. It is proposed to consolidate an absolute ban on the extradition of citizens, temporary citizens and persons with special citizenship to foreign states, including the Russian Federation.</w:t>
      </w:r>
      <w:r>
        <w:rPr>
          <w:rFonts w:ascii="Arial" w:hAnsi="Arial" w:eastAsia="Arial" w:cs="Arial"/>
          <w:b/>
        </w:rPr>
        <w:t/>
      </w:r>
      <w:r>
        <w:rPr>
          <w:rFonts w:ascii="Arial" w:hAnsi="Arial" w:eastAsia="Arial" w:cs="Arial"/>
        </w:rPr>
        <w:t xml:space="preserve"/>
      </w:r>
    </w:p>
    <w:p>
      <w:pPr>
        <w:spacing w:after="60"/>
        <w:ind w:left="340" w:hanging="198"/>
      </w:pPr>
      <w:r>
        <w:rPr>
          <w:rFonts w:ascii="Arial" w:hAnsi="Arial" w:eastAsia="Arial" w:cs="Arial"/>
          <w:b/>
        </w:rPr>
        <w:t xml:space="preserve">• Institutional support - non-profit organizations of relocants. A separate non-profit structure is needed that will act as an applicant, examination coordinator, communication center and platform for supporting beneficiaries.</w:t>
      </w:r>
      <w:r>
        <w:rPr>
          <w:rFonts w:ascii="Arial" w:hAnsi="Arial" w:eastAsia="Arial" w:cs="Arial"/>
          <w:b/>
        </w:rPr>
        <w:t/>
      </w:r>
      <w:r>
        <w:rPr>
          <w:rFonts w:ascii="Arial" w:hAnsi="Arial" w:eastAsia="Arial" w:cs="Arial"/>
        </w:rPr>
        <w:t xml:space="preserve"/>
      </w:r>
    </w:p>
    <w:p>
      <w:pPr>
        <w:pStyle w:val="Heading1Custom"/>
      </w:pPr>
      <w:r>
        <w:rPr>
          <w:rFonts w:ascii="Arial" w:hAnsi="Arial" w:eastAsia="Arial" w:cs="Arial"/>
        </w:rPr>
        <w:t>4. Why do we need two statuses at the same time?</w:t>
      </w:r>
    </w:p>
    <w:p>
      <w:pPr>
        <w:spacing w:after="60"/>
        <w:ind w:left="340" w:hanging="198"/>
      </w:pPr>
      <w:r>
        <w:rPr>
          <w:rFonts w:ascii="Arial" w:hAnsi="Arial" w:eastAsia="Arial" w:cs="Arial"/>
          <w:b/>
        </w:rPr>
        <w:t xml:space="preserve">• Temporary citizenship corresponds to the original political idea of ​​the customer: a status as close as possible to citizenship with a three-year horizon and the right to transition to full citizenship.</w:t>
      </w:r>
      <w:r>
        <w:rPr>
          <w:rFonts w:ascii="Arial" w:hAnsi="Arial" w:eastAsia="Arial" w:cs="Arial"/>
        </w:rPr>
        <w:t/>
      </w:r>
    </w:p>
    <w:p>
      <w:pPr>
        <w:spacing w:after="60"/>
        <w:ind w:left="340" w:hanging="198"/>
      </w:pPr>
      <w:r>
        <w:rPr>
          <w:rFonts w:ascii="Arial" w:hAnsi="Arial" w:eastAsia="Arial" w:cs="Arial"/>
          <w:b/>
        </w:rPr>
        <w:t xml:space="preserve">• Special citizenship creates a backup, more passable and less conflicting path if the state does not want to immediately introduce a new type of citizenship or does not want to undertake a large-scale constitutional reform at the first stage.</w:t>
      </w:r>
      <w:r>
        <w:rPr>
          <w:rFonts w:ascii="Arial" w:hAnsi="Arial" w:eastAsia="Arial" w:cs="Arial"/>
        </w:rPr>
        <w:t xml:space="preserve"/>
      </w:r>
      <w:r>
        <w:rPr>
          <w:rFonts w:ascii="Arial" w:hAnsi="Arial" w:eastAsia="Arial" w:cs="Arial"/>
          <w:b/>
        </w:rPr>
        <w:t/>
      </w:r>
      <w:r>
        <w:rPr>
          <w:rFonts w:ascii="Arial" w:hAnsi="Arial" w:eastAsia="Arial" w:cs="Arial"/>
        </w:rPr>
        <w:t xml:space="preserve"/>
      </w:r>
    </w:p>
    <w:p>
      <w:pPr>
        <w:spacing w:after="60"/>
        <w:ind w:left="340" w:hanging="198"/>
      </w:pPr>
      <w:r>
        <w:rPr>
          <w:rFonts w:ascii="Arial" w:hAnsi="Arial" w:eastAsia="Arial" w:cs="Arial"/>
          <w:b/>
        </w:rPr>
        <w:t xml:space="preserve">• The simultaneous preparation of two models strengthens the bargaining position: the state has a choice between a more ambitious model and a more quickly introduced model.</w:t>
      </w:r>
      <w:r>
        <w:rPr>
          <w:rFonts w:ascii="Arial" w:hAnsi="Arial" w:eastAsia="Arial" w:cs="Arial"/>
        </w:rPr>
        <w:t xml:space="preserve"/>
      </w:r>
      <w:r>
        <w:rPr>
          <w:rFonts w:ascii="Arial" w:hAnsi="Arial" w:eastAsia="Arial" w:cs="Arial"/>
          <w:b/>
        </w:rPr>
        <w:t/>
      </w:r>
      <w:r>
        <w:rPr>
          <w:rFonts w:ascii="Arial" w:hAnsi="Arial" w:eastAsia="Arial" w:cs="Arial"/>
        </w:rPr>
        <w:t xml:space="preserve"/>
      </w:r>
      <w:r>
        <w:rPr>
          <w:rFonts w:ascii="Arial" w:hAnsi="Arial" w:eastAsia="Arial" w:cs="Arial"/>
          <w:b/>
        </w:rPr>
        <w:t/>
      </w:r>
      <w:r>
        <w:rPr>
          <w:rFonts w:ascii="Arial" w:hAnsi="Arial" w:eastAsia="Arial" w:cs="Arial"/>
        </w:rPr>
        <w:t/>
      </w:r>
    </w:p>
    <w:p>
      <w:pPr>
        <w:pStyle w:val="Heading1Custom"/>
      </w:pPr>
      <w:r>
        <w:rPr>
          <w:rFonts w:ascii="Arial" w:hAnsi="Arial" w:eastAsia="Arial" w:cs="Arial"/>
        </w:rPr>
        <w:t>5. General goals, motives and benefits</w:t>
      </w:r>
    </w:p>
    <w:p>
      <w:pPr>
        <w:pStyle w:val="Heading2Custom"/>
      </w:pPr>
      <w:r>
        <w:rPr>
          <w:rFonts w:ascii="Arial" w:hAnsi="Arial" w:eastAsia="Arial" w:cs="Arial"/>
        </w:rPr>
        <w:t>5.1. Goals</w:t>
      </w:r>
    </w:p>
    <w:p>
      <w:pPr>
        <w:spacing w:after="60"/>
        <w:ind w:left="340" w:hanging="198"/>
      </w:pPr>
      <w:r>
        <w:rPr>
          <w:rFonts w:ascii="Arial" w:hAnsi="Arial" w:eastAsia="Arial" w:cs="Arial"/>
          <w:b/>
        </w:rPr>
        <w:t xml:space="preserve">• give relocants already rooted in Armenia a stable legal status that does not force them to return to an unsafe jurisdiction just for the sake of basic documents;</w:t>
      </w:r>
      <w:r>
        <w:rPr>
          <w:rFonts w:ascii="Arial" w:hAnsi="Arial" w:eastAsia="Arial" w:cs="Arial"/>
        </w:rPr>
        <w:t/>
      </w:r>
    </w:p>
    <w:p>
      <w:pPr>
        <w:spacing w:after="60"/>
        <w:ind w:left="340" w:hanging="198"/>
      </w:pPr>
      <w:r>
        <w:rPr>
          <w:rFonts w:ascii="Arial" w:hAnsi="Arial" w:eastAsia="Arial" w:cs="Arial"/>
          <w:b/>
        </w:rPr>
        <w:t xml:space="preserve">• create a legal and transparent path from de facto integration to a stronger legal connection with the Republic of Armenia;</w:t>
      </w:r>
      <w:r>
        <w:rPr>
          <w:rFonts w:ascii="Arial" w:hAnsi="Arial" w:eastAsia="Arial" w:cs="Arial"/>
        </w:rPr>
        <w:t/>
      </w:r>
    </w:p>
    <w:p>
      <w:pPr>
        <w:spacing w:after="60"/>
        <w:ind w:left="340" w:hanging="198"/>
      </w:pPr>
      <w:r>
        <w:rPr>
          <w:rFonts w:ascii="Arial" w:hAnsi="Arial" w:eastAsia="Arial" w:cs="Arial"/>
          <w:b/>
        </w:rPr>
        <w:t xml:space="preserve">• strengthen the reputation of Armenia as a state that combines humanism, security and legal certainty;</w:t>
      </w:r>
      <w:r>
        <w:rPr>
          <w:rFonts w:ascii="Arial" w:hAnsi="Arial" w:eastAsia="Arial" w:cs="Arial"/>
        </w:rPr>
        <w:t/>
      </w:r>
    </w:p>
    <w:p>
      <w:pPr>
        <w:spacing w:after="60"/>
        <w:ind w:left="340" w:hanging="198"/>
      </w:pPr>
      <w:r>
        <w:rPr>
          <w:rFonts w:ascii="Arial" w:hAnsi="Arial" w:eastAsia="Arial" w:cs="Arial"/>
          <w:b/>
        </w:rPr>
        <w:t xml:space="preserve">• create a tool for attracting and retaining human capital, families, entrepreneurs, specialists and tax residents.</w:t>
      </w:r>
      <w:r>
        <w:rPr>
          <w:rFonts w:ascii="Arial" w:hAnsi="Arial" w:eastAsia="Arial" w:cs="Arial"/>
        </w:rPr>
        <w:t/>
      </w:r>
    </w:p>
    <w:p>
      <w:pPr>
        <w:pStyle w:val="Heading2Custom"/>
      </w:pPr>
      <w:r>
        <w:rPr>
          <w:rFonts w:ascii="Arial" w:hAnsi="Arial" w:eastAsia="Arial" w:cs="Arial"/>
        </w:rPr>
        <w:t>5.2. Motives</w:t>
      </w:r>
    </w:p>
    <w:p>
      <w:pPr>
        <w:spacing w:after="60"/>
        <w:ind w:left="340" w:hanging="198"/>
      </w:pPr>
      <w:r>
        <w:rPr>
          <w:rFonts w:ascii="Arial" w:hAnsi="Arial" w:eastAsia="Arial" w:cs="Arial"/>
          <w:b/>
        </w:rPr>
        <w:t xml:space="preserve">• some relocants already live, work, rent housing, teach children, pay taxes and make long-term plans in Armenia;</w:t>
      </w:r>
      <w:r>
        <w:rPr>
          <w:rFonts w:ascii="Arial" w:hAnsi="Arial" w:eastAsia="Arial" w:cs="Arial"/>
        </w:rPr>
        <w:t/>
      </w:r>
    </w:p>
    <w:p>
      <w:pPr>
        <w:spacing w:after="60"/>
        <w:ind w:left="340" w:hanging="198"/>
      </w:pPr>
      <w:r>
        <w:rPr>
          <w:rFonts w:ascii="Arial" w:hAnsi="Arial" w:eastAsia="Arial" w:cs="Arial"/>
          <w:b/>
        </w:rPr>
        <w:t xml:space="preserve">• existing regimes of stay and even special types of residence do not completely cover the problem of long-term security, internal legal connection with the country of residence and a stable documentation regime;</w:t>
      </w:r>
      <w:r>
        <w:rPr>
          <w:rFonts w:ascii="Arial" w:hAnsi="Arial" w:eastAsia="Arial" w:cs="Arial"/>
        </w:rPr>
        <w:t xml:space="preserve"/>
      </w:r>
      <w:r>
        <w:rPr>
          <w:rFonts w:ascii="Arial" w:hAnsi="Arial" w:eastAsia="Arial" w:cs="Arial"/>
          <w:b/>
        </w:rPr>
        <w:t/>
      </w:r>
      <w:r>
        <w:rPr>
          <w:rFonts w:ascii="Arial" w:hAnsi="Arial" w:eastAsia="Arial" w:cs="Arial"/>
        </w:rPr>
        <w:t/>
      </w:r>
    </w:p>
    <w:p>
      <w:pPr>
        <w:spacing w:after="60"/>
        <w:ind w:left="340" w:hanging="198"/>
      </w:pPr>
      <w:r>
        <w:rPr>
          <w:rFonts w:ascii="Arial" w:hAnsi="Arial" w:eastAsia="Arial" w:cs="Arial"/>
          <w:b/>
        </w:rPr>
        <w:t xml:space="preserve">• some applicants have an objective risk of being forced to return to their country of origin to resolve passport and other documentary issues;</w:t>
      </w:r>
      <w:r>
        <w:rPr>
          <w:rFonts w:ascii="Arial" w:hAnsi="Arial" w:eastAsia="Arial" w:cs="Arial"/>
        </w:rPr>
        <w:t/>
      </w:r>
    </w:p>
    <w:p>
      <w:pPr>
        <w:spacing w:after="60"/>
        <w:ind w:left="340" w:hanging="198"/>
      </w:pPr>
      <w:r>
        <w:rPr>
          <w:rFonts w:ascii="Arial" w:hAnsi="Arial" w:eastAsia="Arial" w:cs="Arial"/>
          <w:b/>
        </w:rPr>
        <w:t xml:space="preserve">• the current law of Armenia already knows the tools that bring status closer to citizenship, which means that the reform is not conceptually alien to the legal system.</w:t>
      </w:r>
      <w:r>
        <w:rPr>
          <w:rFonts w:ascii="Arial" w:hAnsi="Arial" w:eastAsia="Arial" w:cs="Arial"/>
        </w:rPr>
        <w:t/>
      </w:r>
    </w:p>
    <w:p>
      <w:pPr>
        <w:pStyle w:val="Heading2Custom"/>
      </w:pPr>
      <w:r>
        <w:rPr>
          <w:rFonts w:ascii="Arial" w:hAnsi="Arial" w:eastAsia="Arial" w:cs="Arial"/>
        </w:rPr>
        <w:t>5.3. Benefits for the state</w:t>
      </w:r>
    </w:p>
    <w:p>
      <w:pPr>
        <w:spacing w:after="60"/>
        <w:ind w:left="340" w:hanging="198"/>
      </w:pPr>
      <w:r>
        <w:rPr>
          <w:rFonts w:ascii="Arial" w:hAnsi="Arial" w:eastAsia="Arial" w:cs="Arial"/>
          <w:b/>
        </w:rPr>
        <w:t xml:space="preserve">• growth of the tax base and consumer activity;</w:t>
      </w:r>
      <w:r>
        <w:rPr>
          <w:rFonts w:ascii="Arial" w:hAnsi="Arial" w:eastAsia="Arial" w:cs="Arial"/>
        </w:rPr>
        <w:t/>
      </w:r>
    </w:p>
    <w:p>
      <w:pPr>
        <w:spacing w:after="60"/>
        <w:ind w:left="340" w:hanging="198"/>
      </w:pPr>
      <w:r>
        <w:rPr>
          <w:rFonts w:ascii="Arial" w:hAnsi="Arial" w:eastAsia="Arial" w:cs="Arial"/>
          <w:b/>
        </w:rPr>
        <w:t xml:space="preserve">• consolidation of qualified human capital and entrepreneurial initiative;</w:t>
      </w:r>
      <w:r>
        <w:rPr>
          <w:rFonts w:ascii="Arial" w:hAnsi="Arial" w:eastAsia="Arial" w:cs="Arial"/>
        </w:rPr>
        <w:t/>
      </w:r>
    </w:p>
    <w:p>
      <w:pPr>
        <w:spacing w:after="60"/>
        <w:ind w:left="340" w:hanging="198"/>
      </w:pPr>
      <w:r>
        <w:rPr>
          <w:rFonts w:ascii="Arial" w:hAnsi="Arial" w:eastAsia="Arial" w:cs="Arial"/>
          <w:b/>
        </w:rPr>
        <w:t xml:space="preserve">• demographic and social effect in the form of consolidation of families and children in Armenian jurisdiction;</w:t>
      </w:r>
      <w:r>
        <w:rPr>
          <w:rFonts w:ascii="Arial" w:hAnsi="Arial" w:eastAsia="Arial" w:cs="Arial"/>
        </w:rPr>
        <w:t/>
      </w:r>
    </w:p>
    <w:p>
      <w:pPr>
        <w:spacing w:after="60"/>
        <w:ind w:left="340" w:hanging="198"/>
      </w:pPr>
      <w:r>
        <w:rPr>
          <w:rFonts w:ascii="Arial" w:hAnsi="Arial" w:eastAsia="Arial" w:cs="Arial"/>
          <w:b/>
        </w:rPr>
        <w:t xml:space="preserve">• enhancing the international image of Armenia as a legal and humane state;</w:t>
      </w:r>
      <w:r>
        <w:rPr>
          <w:rFonts w:ascii="Arial" w:hAnsi="Arial" w:eastAsia="Arial" w:cs="Arial"/>
        </w:rPr>
        <w:t/>
      </w:r>
    </w:p>
    <w:p>
      <w:pPr>
        <w:spacing w:after="60"/>
        <w:ind w:left="340" w:hanging="198"/>
      </w:pPr>
      <w:r>
        <w:rPr>
          <w:rFonts w:ascii="Arial" w:hAnsi="Arial" w:eastAsia="Arial" w:cs="Arial"/>
          <w:b/>
        </w:rPr>
        <w:t xml:space="preserve">• the ability to replace chaotic and individual decisions with a single transparent regime.</w:t>
      </w:r>
      <w:r>
        <w:rPr>
          <w:rFonts w:ascii="Arial" w:hAnsi="Arial" w:eastAsia="Arial" w:cs="Arial"/>
        </w:rPr>
        <w:t/>
      </w:r>
    </w:p>
    <w:p>
      <w:pPr>
        <w:pStyle w:val="Heading1Custom"/>
      </w:pPr>
      <w:r>
        <w:rPr>
          <w:rFonts w:ascii="Arial" w:hAnsi="Arial" w:eastAsia="Arial" w:cs="Arial"/>
        </w:rPr>
        <w:t>6. What should be taken in what order</w:t>
      </w:r>
    </w:p>
    <w:p>
      <w:pPr>
        <w:spacing w:after="60"/>
        <w:ind w:left="397" w:hanging="283"/>
      </w:pPr>
      <w:r>
        <w:rPr>
          <w:rFonts w:ascii="Arial" w:hAnsi="Arial" w:eastAsia="Arial" w:cs="Arial"/>
        </w:rPr>
        <w:t>1. A policy decision on whether to support the temporary citizenship model as the main path and the special citizenship model as a standalone or a backup or parallel path.</w:t>
      </w:r>
    </w:p>
    <w:p>
      <w:pPr>
        <w:spacing w:after="60"/>
        <w:ind w:left="397" w:hanging="283"/>
      </w:pPr>
      <w:r>
        <w:rPr>
          <w:rFonts w:ascii="Arial" w:hAnsi="Arial" w:eastAsia="Arial" w:cs="Arial"/>
          <w:b/>
        </w:rPr>
        <w:t xml:space="preserve">2. A constitutional package is required for an absolute ban on extradition and for the risk-free introduction of temporary citizenship as a special form of legal connection with the state.</w:t>
      </w:r>
      <w:r>
        <w:rPr>
          <w:rFonts w:ascii="Arial" w:hAnsi="Arial" w:eastAsia="Arial" w:cs="Arial"/>
        </w:rPr>
        <w:t/>
      </w:r>
    </w:p>
    <w:p>
      <w:pPr>
        <w:spacing w:after="60"/>
        <w:ind w:left="397" w:hanging="283"/>
      </w:pPr>
      <w:r>
        <w:rPr>
          <w:rFonts w:ascii="Arial" w:hAnsi="Arial" w:eastAsia="Arial" w:cs="Arial"/>
          <w:b/>
        </w:rPr>
        <w:t xml:space="preserve">3. Legislative package on temporary citizenship - if the state chooses an ambitious model.</w:t>
      </w:r>
      <w:r>
        <w:rPr>
          <w:rFonts w:ascii="Arial" w:hAnsi="Arial" w:eastAsia="Arial" w:cs="Arial"/>
        </w:rPr>
        <w:t/>
      </w:r>
    </w:p>
    <w:p>
      <w:pPr>
        <w:spacing w:after="60"/>
        <w:ind w:left="397" w:hanging="283"/>
      </w:pPr>
      <w:r>
        <w:rPr>
          <w:rFonts w:ascii="Arial" w:hAnsi="Arial" w:eastAsia="Arial" w:cs="Arial"/>
        </w:rPr>
        <w:t>4. Legislative package for special citizenship - if the state chooses an independent or parallel model.</w:t>
      </w:r>
    </w:p>
    <w:p>
      <w:pPr>
        <w:spacing w:after="60"/>
        <w:ind w:left="397" w:hanging="283"/>
      </w:pPr>
      <w:r>
        <w:rPr>
          <w:rFonts w:ascii="Arial" w:hAnsi="Arial" w:eastAsia="Arial" w:cs="Arial"/>
          <w:b/>
        </w:rPr>
        <w:t xml:space="preserve">5. By-laws of the Government of the Republic of Armenia: procedure for submission, forms of documents, list of checks, amount of fees, regulations for interdepartmental interaction, document to confirm status, possible travel document or other document of return to Armenia.</w:t>
      </w:r>
      <w:r>
        <w:rPr>
          <w:rFonts w:ascii="Arial" w:hAnsi="Arial" w:eastAsia="Arial" w:cs="Arial"/>
        </w:rPr>
        <w:t/>
      </w:r>
    </w:p>
    <w:p>
      <w:pPr>
        <w:spacing w:after="60"/>
        <w:ind w:left="397" w:hanging="283"/>
      </w:pPr>
      <w:r>
        <w:rPr>
          <w:rFonts w:ascii="Arial" w:hAnsi="Arial" w:eastAsia="Arial" w:cs="Arial"/>
          <w:b/>
        </w:rPr>
        <w:t xml:space="preserve">6. Launch of an NPO as an institutional representative and expert center for project support.</w:t>
      </w:r>
      <w:r>
        <w:rPr>
          <w:rFonts w:ascii="Arial" w:hAnsi="Arial" w:eastAsia="Arial" w:cs="Arial"/>
        </w:rPr>
        <w:t/>
      </w:r>
    </w:p>
    <w:p>
      <w:pPr>
        <w:pStyle w:val="Heading1Custom"/>
      </w:pPr>
      <w:r>
        <w:rPr>
          <w:rFonts w:ascii="Arial" w:hAnsi="Arial" w:eastAsia="Arial" w:cs="Arial"/>
        </w:rPr>
        <w:t>7. General legal disclaimers</w:t>
      </w:r>
    </w:p>
    <w:p>
      <w:pPr>
        <w:spacing w:after="60"/>
        <w:ind w:left="340" w:hanging="198"/>
      </w:pPr>
      <w:r>
        <w:rPr>
          <w:rFonts w:ascii="Arial" w:hAnsi="Arial" w:eastAsia="Arial" w:cs="Arial"/>
          <w:b/>
        </w:rPr>
        <w:t xml:space="preserve">• The term “relocant” should not be used in regulatory text as a legal category. Laws should use neutral formulas: “foreign citizen” or “stateless person” legally residing in the Republic of Armenia for at least six months.</w:t>
      </w:r>
      <w:r>
        <w:rPr>
          <w:rFonts w:ascii="Arial" w:hAnsi="Arial" w:eastAsia="Arial" w:cs="Arial"/>
          <w:b/>
        </w:rPr>
        <w:t/>
      </w:r>
      <w:r>
        <w:rPr>
          <w:rFonts w:ascii="Arial" w:hAnsi="Arial" w:eastAsia="Arial" w:cs="Arial"/>
        </w:rPr>
        <w:t xml:space="preserve"/>
      </w:r>
    </w:p>
    <w:p>
      <w:pPr>
        <w:spacing w:after="60"/>
        <w:ind w:left="340" w:hanging="198"/>
      </w:pPr>
      <w:r>
        <w:rPr>
          <w:rFonts w:ascii="Arial" w:hAnsi="Arial" w:eastAsia="Arial" w:cs="Arial"/>
          <w:b/>
        </w:rPr>
        <w:t xml:space="preserve">• An absolute prohibition of extradition requires a constitutional decision. The current Constitution allows for a treaty exception for the extradition of citizens; this clause should be removed if the policy objective is absolute non-rendition.</w:t>
      </w:r>
      <w:r>
        <w:rPr>
          <w:rFonts w:ascii="Arial" w:hAnsi="Arial" w:eastAsia="Arial" w:cs="Arial"/>
          <w:b/>
        </w:rPr>
        <w:t/>
      </w:r>
      <w:r>
        <w:rPr>
          <w:rFonts w:ascii="Arial" w:hAnsi="Arial" w:eastAsia="Arial" w:cs="Arial"/>
        </w:rPr>
        <w:t xml:space="preserve"/>
      </w:r>
    </w:p>
    <w:p>
      <w:pPr>
        <w:spacing w:after="60"/>
        <w:ind w:left="340" w:hanging="198"/>
      </w:pPr>
      <w:r>
        <w:rPr>
          <w:rFonts w:ascii="Arial" w:hAnsi="Arial" w:eastAsia="Arial" w:cs="Arial"/>
          <w:b/>
        </w:rPr>
        <w:t xml:space="preserve">• Armenia can guarantee its own status and its own document, but cannot guarantee the recognition of such a document by third states instead of the applicant’s national passport. This should be clearly reflected in the explanatory materials so as not to create false expectations.</w:t>
      </w:r>
      <w:r>
        <w:rPr>
          <w:rFonts w:ascii="Arial" w:hAnsi="Arial" w:eastAsia="Arial" w:cs="Arial"/>
          <w:b/>
        </w:rPr>
        <w:t/>
      </w:r>
      <w:r>
        <w:rPr>
          <w:rFonts w:ascii="Arial" w:hAnsi="Arial" w:eastAsia="Arial" w:cs="Arial"/>
        </w:rPr>
        <w:t xml:space="preserve"/>
      </w:r>
    </w:p>
    <w:p>
      <w:pPr>
        <w:spacing w:after="60"/>
        <w:ind w:left="340" w:hanging="198"/>
      </w:pPr>
      <w:r>
        <w:rPr>
          <w:rFonts w:ascii="Arial" w:hAnsi="Arial" w:eastAsia="Arial" w:cs="Arial"/>
          <w:b/>
        </w:rPr>
        <w:t xml:space="preserve">• An Armenian version will be required for official entry. These Russian-language packages are working, but are already structured so that they can be quickly adapted for government circulation.</w:t>
      </w:r>
      <w:r>
        <w:rPr>
          <w:rFonts w:ascii="Arial" w:hAnsi="Arial" w:eastAsia="Arial" w:cs="Arial"/>
          <w:b/>
        </w:rPr>
        <w:t/>
      </w:r>
      <w:r>
        <w:rPr>
          <w:rFonts w:ascii="Arial" w:hAnsi="Arial" w:eastAsia="Arial" w:cs="Arial"/>
        </w:rPr>
        <w:t xml:space="preserve"/>
      </w:r>
    </w:p>
    <w:p>
      <w:pPr>
        <w:pStyle w:val="Heading1Custom"/>
      </w:pPr>
      <w:r>
        <w:rPr>
          <w:rFonts w:ascii="Arial" w:hAnsi="Arial" w:eastAsia="Arial" w:cs="Arial"/>
        </w:rPr>
        <w:t>8. General list of applications that should be submitted along with packages</w:t>
      </w:r>
    </w:p>
    <w:tbl>
      <w:tblPr>
        <w:tblStyle w:val="TableGrid"/>
        <w:tblW w:type="auto" w:w="0"/>
        <w:tblLayout w:type="fixed"/>
        <w:tblLook w:firstColumn="1" w:firstRow="1" w:lastColumn="0" w:lastRow="0" w:noHBand="0" w:noVBand="1" w:val="04A0"/>
        <w:tblCellMar>
          <w:top w:w="85" w:type="dxa"/>
          <w:start w:w="100" w:type="dxa"/>
          <w:bottom w:w="85" w:type="dxa"/>
          <w:end w:w="100" w:type="dxa"/>
        </w:tblCellMar>
        <w:jc w:val="center"/>
        <w:tblBorders>
          <w:top w:val="single" w:sz="5" w:space="0" w:color="C9CED6"/>
          <w:left w:val="single" w:sz="5" w:space="0" w:color="C9CED6"/>
          <w:bottom w:val="single" w:sz="5" w:space="0" w:color="C9CED6"/>
          <w:right w:val="single" w:sz="5" w:space="0" w:color="C9CED6"/>
          <w:insideH w:val="single" w:sz="5" w:space="0" w:color="C9CED6"/>
          <w:insideV w:val="single" w:sz="5" w:space="0" w:color="C9CED6"/>
        </w:tblBorders>
      </w:tblPr>
      <w:tblGrid>
        <w:gridCol w:w="4762"/>
        <w:gridCol w:w="4762"/>
      </w:tblGrid>
      <w:tr>
        <w:tc>
          <w:tcPr>
            <w:tcW w:type="dxa" w:w="3402"/>
            <w:shd w:fill="F5F7FA" w:color="auto" w:val="clear"/>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jc w:val="center"/>
            </w:pPr>
            <w:r>
              <w:rPr>
                <w:rFonts w:ascii="Arial" w:hAnsi="Arial" w:eastAsia="Arial" w:cs="Arial"/>
                <w:b/>
                <w:color w:val="27303A"/>
                <w:sz w:val="21"/>
              </w:rPr>
              <w:t>Application</w:t>
            </w:r>
          </w:p>
        </w:tc>
        <w:tc>
          <w:tcPr>
            <w:tcW w:type="dxa" w:w="5839"/>
            <w:shd w:fill="ECECEC"/>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jc w:val="center"/>
            </w:pPr>
            <w:r>
              <w:rPr>
                <w:rFonts w:ascii="Arial" w:hAnsi="Arial" w:eastAsia="Arial" w:cs="Arial"/>
                <w:b/>
              </w:rPr>
              <w:t>Why is it necessary?</w:t>
            </w:r>
          </w:p>
        </w:tc>
      </w:tr>
      <w:tr>
        <w:tc>
          <w:tcPr>
            <w:tcW w:type="dxa" w:w="3402"/>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shd w:fill="F5F7FA" w:color="auto" w:val="clear"/>
          </w:tcPr>
          <w:p>
            <w:pPr>
              <w:spacing w:after="50" w:before="0" w:line="269" w:lineRule="auto"/>
            </w:pPr>
            <w:r>
              <w:rPr>
                <w:rFonts w:ascii="Arial" w:hAnsi="Arial" w:eastAsia="Arial" w:cs="Arial"/>
                <w:b/>
                <w:color w:val="27303A"/>
                <w:sz w:val="21"/>
              </w:rPr>
              <w:t>Cover letter</w:t>
            </w:r>
          </w:p>
        </w:tc>
        <w:tc>
          <w:tcPr>
            <w:tcW w:type="dxa" w:w="583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rPr>
              <w:t>Fixes the addressee, the subject of the appeal and the list of attached materials.</w:t>
            </w:r>
          </w:p>
        </w:tc>
      </w:tr>
      <w:tr>
        <w:tc>
          <w:tcPr>
            <w:tcW w:type="dxa" w:w="3402"/>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shd w:fill="F5F7FA" w:color="auto" w:val="clear"/>
          </w:tcPr>
          <w:p>
            <w:pPr>
              <w:spacing w:after="50" w:before="0" w:line="269" w:lineRule="auto"/>
            </w:pPr>
            <w:r>
              <w:rPr>
                <w:rFonts w:ascii="Arial" w:hAnsi="Arial" w:eastAsia="Arial" w:cs="Arial"/>
                <w:b/>
                <w:color w:val="27303A"/>
                <w:sz w:val="21"/>
              </w:rPr>
              <w:t>Explanatory note</w:t>
            </w:r>
          </w:p>
        </w:tc>
        <w:tc>
          <w:tcPr>
            <w:tcW w:type="dxa" w:w="583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rPr>
              <w:t>Explains the goals, motivations, benefits, risks and legal logic of the project.</w:t>
            </w:r>
          </w:p>
        </w:tc>
      </w:tr>
      <w:tr>
        <w:tc>
          <w:tcPr>
            <w:tcW w:type="dxa" w:w="3402"/>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shd w:fill="F5F7FA" w:color="auto" w:val="clear"/>
          </w:tcPr>
          <w:p>
            <w:pPr>
              <w:spacing w:after="50" w:before="0" w:line="269" w:lineRule="auto"/>
            </w:pPr>
            <w:r>
              <w:rPr>
                <w:rFonts w:ascii="Arial" w:hAnsi="Arial" w:eastAsia="Arial" w:cs="Arial"/>
                <w:b/>
                <w:color w:val="27303A"/>
                <w:sz w:val="21"/>
              </w:rPr>
              <w:t>Comparison table</w:t>
            </w:r>
          </w:p>
        </w:tc>
        <w:tc>
          <w:tcPr>
            <w:tcW w:type="dxa" w:w="583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rPr>
              <w:t>Shows what norms are proposed to be changed and what effect this will have.</w:t>
            </w:r>
          </w:p>
        </w:tc>
      </w:tr>
      <w:tr>
        <w:tc>
          <w:tcPr>
            <w:tcW w:type="dxa" w:w="3402"/>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shd w:fill="F5F7FA" w:color="auto" w:val="clear"/>
          </w:tcPr>
          <w:p>
            <w:pPr>
              <w:spacing w:after="50" w:before="0" w:line="269" w:lineRule="auto"/>
            </w:pPr>
            <w:r>
              <w:rPr>
                <w:rFonts w:ascii="Arial" w:hAnsi="Arial" w:eastAsia="Arial" w:cs="Arial"/>
                <w:b/>
                <w:color w:val="27303A"/>
                <w:sz w:val="21"/>
              </w:rPr>
              <w:t>Brief Executive Summary</w:t>
            </w:r>
          </w:p>
        </w:tc>
        <w:tc>
          <w:tcPr>
            <w:tcW w:type="dxa" w:w="583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rPr>
              <w:t>Allows management to quickly understand the nature of the initiative without reading the entire package.</w:t>
            </w:r>
          </w:p>
        </w:tc>
      </w:tr>
      <w:tr>
        <w:tc>
          <w:tcPr>
            <w:tcW w:type="dxa" w:w="3402"/>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shd w:fill="F5F7FA" w:color="auto" w:val="clear"/>
          </w:tcPr>
          <w:p>
            <w:pPr>
              <w:spacing w:after="50" w:before="0" w:line="269" w:lineRule="auto"/>
            </w:pPr>
            <w:r>
              <w:rPr>
                <w:rFonts w:ascii="Arial" w:hAnsi="Arial" w:eastAsia="Arial" w:cs="Arial"/>
                <w:b/>
                <w:color w:val="27303A"/>
                <w:sz w:val="21"/>
              </w:rPr>
              <w:t>Implementation roadmap</w:t>
            </w:r>
          </w:p>
        </w:tc>
        <w:tc>
          <w:tcPr>
            <w:tcW w:type="dxa" w:w="583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rPr>
              <w:t>Shows what laws, regulations and procedures need to be adopted after approval.</w:t>
            </w:r>
          </w:p>
        </w:tc>
      </w:tr>
      <w:tr>
        <w:tc>
          <w:tcPr>
            <w:tcW w:type="dxa" w:w="3402"/>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shd w:fill="F5F7FA" w:color="auto" w:val="clear"/>
          </w:tcPr>
          <w:p>
            <w:pPr>
              <w:spacing w:after="50" w:before="0" w:line="269" w:lineRule="auto"/>
            </w:pPr>
            <w:r>
              <w:rPr>
                <w:rFonts w:ascii="Arial" w:hAnsi="Arial" w:eastAsia="Arial" w:cs="Arial"/>
                <w:b/>
                <w:color w:val="27303A"/>
                <w:sz w:val="21"/>
              </w:rPr>
              <w:t>Official Legal Support Sheet</w:t>
            </w:r>
          </w:p>
        </w:tc>
        <w:tc>
          <w:tcPr>
            <w:tcW w:type="dxa" w:w="5839"/>
            <w:vAlign w:val="center"/>
            <w:tcBorders>
              <w:left w:sz="6" w:val="single" w:color="B6B6B6"/>
              <w:top w:sz="6" w:val="single" w:color="B6B6B6"/>
              <w:right w:sz="6" w:val="single" w:color="B6B6B6"/>
              <w:bottom w:sz="6" w:val="single" w:color="B6B6B6"/>
            </w:tcBorders>
            <w:tcMar>
              <w:top w:w="90" w:type="dxa"/>
              <w:left w:w="90" w:type="dxa"/>
              <w:bottom w:w="90" w:type="dxa"/>
              <w:right w:w="90" w:type="dxa"/>
            </w:tcMar>
          </w:tcPr>
          <w:p>
            <w:pPr>
              <w:spacing w:after="50" w:before="0" w:line="269" w:lineRule="auto"/>
            </w:pPr>
            <w:r>
              <w:rPr>
                <w:rFonts w:ascii="Arial" w:hAnsi="Arial" w:eastAsia="Arial" w:cs="Arial"/>
              </w:rPr>
              <w:t>Fixes normative sources and reduces the risk of dispute about the factual basis of a proposal.</w:t>
            </w:r>
          </w:p>
        </w:tc>
      </w:tr>
    </w:tbl>
    <w:p>
      <w:r>
        <w:rPr>
          <w:rFonts w:ascii="Arial" w:hAnsi="Arial" w:eastAsia="Arial" w:cs="Arial"/>
        </w:rPr>
        <w:t/>
      </w:r>
    </w:p>
    <w:p>
      <w:pPr>
        <w:pStyle w:val="QuoteBox"/>
        <w:shd w:fill="F6F7F9" w:val="clear" w:color="auto"/>
        <w:pBdr>
          <w:left w:val="single" w:sz="10" w:space="6" w:color="C9D0DA"/>
        </w:pBdr>
      </w:pPr>
      <w:r>
        <w:rPr>
          <w:rFonts w:ascii="Arial" w:hAnsi="Arial" w:eastAsia="Arial" w:cs="Arial"/>
          <w:b/>
        </w:rPr>
        <w:t xml:space="preserve">Basic official pillars of the package: Constitution of the Republic of Armenia (ARLIS, articles 40, 47, 48, 55, 202); Law of the Republic of Armenia “On Citizenship of the Republic of Armenia” (ARLIS, articles 5, 9, 13, 26); Official page of the Ministry of Foreign Affairs of Armenia on citizenship; Official page of the Ministry of Foreign Affairs of Armenia about special residency status; Official page of the Government of the Republic of Armenia on the structure of the Government; Official page of the President of the Republic of Armenia</w:t>
      </w:r>
      <w:r>
        <w:rPr>
          <w:rFonts w:ascii="Arial" w:hAnsi="Arial" w:eastAsia="Arial" w:cs="Arial"/>
        </w:rPr>
        <w:t/>
      </w:r>
    </w:p>
    <w:p>
      <w:pPr>
        <w:pStyle w:val="Heading1Custom"/>
      </w:pPr>
      <w:r>
        <w:rPr>
          <w:rFonts w:ascii="Arial" w:hAnsi="Arial" w:eastAsia="Arial" w:cs="Arial"/>
        </w:rPr>
        <w:t>9. What exactly does Armenia get from the entire reform package?</w:t>
      </w:r>
    </w:p>
    <w:p>
      <w:pPr/>
      <w:r>
        <w:rPr>
          <w:rFonts w:ascii="Arial" w:hAnsi="Arial" w:eastAsia="Arial" w:cs="Arial"/>
        </w:rPr>
        <w:t>• securing qualified specialists, entrepreneurs, digital economy workers, teachers, students and members of their families in Armenia;</w:t>
      </w:r>
    </w:p>
    <w:p>
      <w:pPr/>
      <w:r>
        <w:rPr>
          <w:rFonts w:ascii="Arial" w:hAnsi="Arial" w:eastAsia="Arial" w:cs="Arial"/>
        </w:rPr>
        <w:t>• growth of the tax base due to formal employment, entrepreneurship, consumption, rental housing, banking activity and long-term family presence;</w:t>
      </w:r>
    </w:p>
    <w:p>
      <w:pPr/>
      <w:r>
        <w:rPr>
          <w:rFonts w:ascii="Arial" w:hAnsi="Arial" w:eastAsia="Arial" w:cs="Arial"/>
        </w:rPr>
        <w:t>• reduction of administrative burden due to the transition from disparate individual decisions to a unified legal regime with clear criteria and procedures;</w:t>
      </w:r>
    </w:p>
    <w:p>
      <w:pPr/>
      <w:r>
        <w:rPr>
          <w:rFonts w:ascii="Arial" w:hAnsi="Arial" w:eastAsia="Arial" w:cs="Arial"/>
        </w:rPr>
        <w:t>• strengthening demographic sustainability through securing families, children, schoolchildren and long-term households in Armenian jurisdiction;</w:t>
      </w:r>
    </w:p>
    <w:p>
      <w:pPr/>
      <w:r>
        <w:rPr>
          <w:rFonts w:ascii="Arial" w:hAnsi="Arial" w:eastAsia="Arial" w:cs="Arial"/>
        </w:rPr>
        <w:t>• increasing investment and business predictability: the more stable a person’s status, the higher the likelihood of business registration, long-term contracts and reinvestment of income in Armenia;</w:t>
      </w:r>
    </w:p>
    <w:p>
      <w:pPr/>
      <w:r>
        <w:rPr>
          <w:rFonts w:ascii="Arial" w:hAnsi="Arial" w:eastAsia="Arial" w:cs="Arial"/>
        </w:rPr>
        <w:t>• strengthening the international reputation of Armenia as a legal, humane and competitive state in the South Caucasus;</w:t>
      </w:r>
    </w:p>
    <w:p>
      <w:pPr/>
      <w:r>
        <w:rPr>
          <w:rFonts w:ascii="Arial" w:hAnsi="Arial" w:eastAsia="Arial" w:cs="Arial"/>
        </w:rPr>
        <w:t>• creating a manageable and loyal path from de facto integration to full citizenship, rather than leaving people in a gray zone.</w:t>
      </w:r>
    </w:p>
    <w:p>
      <w:pPr>
        <w:pStyle w:val="Heading1Custom"/>
      </w:pPr>
      <w:r>
        <w:rPr>
          <w:rFonts w:ascii="Arial" w:hAnsi="Arial" w:eastAsia="Arial" w:cs="Arial"/>
        </w:rPr>
        <w:t>10. Temporary citizenship and citizenship: choice of one status or parallel launch</w:t>
      </w:r>
    </w:p>
    <w:p>
      <w:pPr/>
      <w:r>
        <w:rPr>
          <w:rFonts w:ascii="Arial" w:hAnsi="Arial" w:eastAsia="Arial" w:cs="Arial"/>
        </w:rPr>
        <w:t>1. model for choosing one status: the state has the right to consider temporary citizenship and citizenship as two independent projects and accept only one of them;</w:t>
      </w:r>
    </w:p>
    <w:p>
      <w:pPr/>
      <w:r>
        <w:rPr>
          <w:rFonts w:ascii="Arial" w:hAnsi="Arial" w:eastAsia="Arial" w:cs="Arial"/>
        </w:rPr>
        <w:t>2. parallel launch model: the state has the right to simultaneously accept both statuses and provide the applicant or authorized body with the choice of the best route depending on the degree of integration, family situation and public interest;</w:t>
      </w:r>
    </w:p>
    <w:p>
      <w:pPr/>
      <w:r>
        <w:rPr>
          <w:rFonts w:ascii="Arial" w:hAnsi="Arial" w:eastAsia="Arial" w:cs="Arial"/>
        </w:rPr>
        <w:t>3. model of phased introduction: citizenship is launched first as a faster legislative track, and temporary citizenship is introduced after passing the constitutional route;</w:t>
      </w:r>
    </w:p>
    <w:p>
      <w:pPr/>
      <w:r>
        <w:rPr>
          <w:rFonts w:ascii="Arial" w:hAnsi="Arial" w:eastAsia="Arial" w:cs="Arial"/>
        </w:rPr>
        <w:t>4. It is advisable to explicitly state in regulatory texts that the presence of citizenship does not prevent subsequent applications for temporary citizenship or full citizenship if the person meets the criteria established by law.</w:t>
      </w:r>
    </w:p>
    <w:p>
      <w:pPr>
        <w:pStyle w:val="Heading1Custom"/>
      </w:pPr>
      <w:r>
        <w:rPr>
          <w:rFonts w:ascii="Arial" w:hAnsi="Arial" w:eastAsia="Arial" w:cs="Arial"/>
        </w:rPr>
        <w:t>11. Section of public support for reform and personal support of the Prime Minister of the Republic of Armenia</w:t>
      </w:r>
    </w:p>
    <w:p>
      <w:pPr/>
      <w:r>
        <w:rPr>
          <w:rFonts w:ascii="Arial" w:hAnsi="Arial" w:eastAsia="Arial" w:cs="Arial"/>
        </w:rPr>
        <w:t>The pro-reform community of relocants expresses personal political support to the Prime Minister of the Republic of Armenia Nikol Pashinyan as a leader under whom Armenia has remained open to reform, institutional dialogue and legal integration of new residents.</w:t>
      </w:r>
    </w:p>
    <w:p>
      <w:pPr/>
      <w:r>
        <w:rPr>
          <w:rFonts w:ascii="Arial" w:hAnsi="Arial" w:eastAsia="Arial" w:cs="Arial"/>
        </w:rPr>
        <w:t>The community expresses its desire to move together with Nikol Pashinyan and his political team in the next electoral cycles and link their long-term future in Armenia to this course. Before the acquisition of electoral rights provided for by law, such support is expressed in the public, expert, public and organizational plane; after receiving the appropriate status and rights - also in the political process to the extent permitted by the Constitution and laws of the Republic of Armenia.</w:t>
      </w:r>
    </w:p>
    <w:p>
      <w:pPr>
        <w:pStyle w:val="QuoteBox"/>
        <w:shd w:fill="F6F7F9" w:val="clear" w:color="auto"/>
        <w:pBdr>
          <w:left w:val="single" w:sz="10" w:space="6" w:color="C9D0DA"/>
        </w:pBdr>
      </w:pPr>
      <w:r>
        <w:rPr>
          <w:rFonts w:ascii="Arial" w:hAnsi="Arial" w:eastAsia="Arial" w:cs="Arial"/>
        </w:rPr>
        <w:t>A ready-made formula for public use: “The relocant community supports Prime Minister Nikol Pashinyan and his reform course, connects its long-term future with Armenia and, as it receives the rights provided by law, is ready to move with him and his team in future elections.”</w:t>
      </w:r>
    </w:p>
    <w:sectPr w:rsidR="00FC693F" w:rsidRPr="0006063C" w:rsidSect="00034616">
      <w:footerReference w:type="default" ns2:id="rId9"/>
      <w:headerReference w:type="default" ns2:id="rId10"/>
      <w:pgSz w:w="11906" w:h="16838"/>
      <w:pgMar w:top="907" w:right="1020" w:bottom="907" w:left="1020" w:header="454"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80" w:after="0" w:line="240" w:lineRule="auto"/>
      <w:jc w:val="center"/>
      <w:pBdr>
        <w:top w:val="single" w:sz="8" w:space="6" w:color="D4DAE3"/>
      </w:pBdr>
    </w:pPr>
    <w:r>
      <w:rPr>
        <w:rFonts w:ascii="Arial" w:hAnsi="Arial" w:eastAsia="Arial" w:cs="Arial"/>
        <w:color w:val="7B8694"/>
        <w:sz w:val="18"/>
      </w:rPr>
      <w:t>Package 01 • Document register</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10" w:line="276" w:lineRule="auto" w:before="0"/>
    </w:pPr>
    <w:rPr>
      <w:rFonts w:ascii="Arial" w:hAnsi="Arial" w:eastAsia="Arial" w:cs="Arial"/>
      <w:color w:val="222B3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40"/>
      <w:outlineLvl w:val="0"/>
    </w:pPr>
    <w:rPr>
      <w:rFonts w:asciiTheme="majorHAnsi" w:eastAsiaTheme="majorEastAsia" w:hAnsiTheme="majorHAnsi" w:cstheme="majorBidi" w:ascii="Arial" w:hAnsi="Arial" w:eastAsia="Arial" w:cs="Arial"/>
      <w:b/>
      <w:bCs/>
      <w:color w:val="163F6D"/>
      <w:sz w:val="38"/>
      <w:szCs w:val="28"/>
    </w:rPr>
  </w:style>
  <w:style w:type="paragraph" w:styleId="Heading2">
    <w:name w:val="heading 2"/>
    <w:basedOn w:val="Normal"/>
    <w:next w:val="Normal"/>
    <w:link w:val="Heading2Char"/>
    <w:uiPriority w:val="9"/>
    <w:unhideWhenUsed/>
    <w:qFormat/>
    <w:rsid w:val="00FC693F"/>
    <w:pPr>
      <w:keepNext/>
      <w:keepLines/>
      <w:spacing w:before="240" w:after="100"/>
      <w:outlineLvl w:val="1"/>
    </w:pPr>
    <w:rPr>
      <w:rFonts w:asciiTheme="majorHAnsi" w:eastAsiaTheme="majorEastAsia" w:hAnsiTheme="majorHAnsi" w:cstheme="majorBidi" w:ascii="Arial" w:hAnsi="Arial" w:eastAsia="Arial" w:cs="Arial"/>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rial" w:hAnsi="Arial" w:eastAsia="Arial" w:cs="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52" w:lineRule="auto" w:before="0"/>
      <w:contextualSpacing/>
    </w:pPr>
    <w:rPr>
      <w:rFonts w:asciiTheme="majorHAnsi" w:eastAsiaTheme="majorEastAsia" w:hAnsiTheme="majorHAnsi" w:cstheme="majorBidi" w:ascii="Arial" w:hAnsi="Arial" w:eastAsia="Arial" w:cs="Arial"/>
      <w:b/>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360"/>
    </w:pPr>
    <w:rPr>
      <w:rFonts w:asciiTheme="majorHAnsi" w:eastAsiaTheme="majorEastAsia" w:hAnsiTheme="majorHAnsi" w:cstheme="majorBidi" w:ascii="Arial" w:hAnsi="Arial" w:eastAsia="Arial" w:cs="Arial"/>
      <w:i/>
      <w:iCs/>
      <w:color w:val="4F81BD" w:themeColor="accent1"/>
      <w:spacing w:val="15"/>
      <w:sz w:val="21"/>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spacing w:line="269" w:lineRule="auto" w:before="0" w:after="100"/>
      <w:ind w:left="720"/>
      <w:contextualSpacing/>
    </w:pPr>
    <w:rPr>
      <w:rFonts w:ascii="Arial" w:hAnsi="Arial" w:eastAsia="Arial" w:cs="Arial"/>
      <w:sz w:val="21"/>
    </w:r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line="276" w:lineRule="auto" w:before="0" w:after="90"/>
      <w:contextualSpacing/>
    </w:pPr>
    <w:rPr>
      <w:rFonts w:ascii="Arial" w:hAnsi="Arial" w:eastAsia="Arial" w:cs="Arial"/>
      <w:color w:val="222B36"/>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line="276" w:lineRule="auto" w:before="0" w:after="90"/>
      <w:contextualSpacing/>
    </w:pPr>
    <w:rPr>
      <w:rFonts w:ascii="Arial" w:hAnsi="Arial" w:eastAsia="Arial" w:cs="Arial"/>
      <w:color w:val="222B36"/>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Normal"/>
    <w:pPr>
      <w:keepNext/>
      <w:spacing w:after="220" w:line="247" w:lineRule="auto" w:before="0"/>
      <w:jc w:val="center"/>
    </w:pPr>
    <w:rPr>
      <w:rFonts w:ascii="Times New Roman" w:hAnsi="Times New Roman" w:eastAsia="Times New Roman" w:cs="Times New Roman"/>
      <w:b/>
      <w:color w:val="7A1F2A"/>
      <w:sz w:val="50"/>
    </w:rPr>
  </w:style>
  <w:style w:type="paragraph" w:customStyle="1" w:styleId="SubtitleCustom">
    <w:name w:val="SubtitleCustom"/>
    <w:basedOn w:val="Normal"/>
    <w:pPr>
      <w:keepNext/>
      <w:spacing w:after="240" w:before="0" w:line="259" w:lineRule="auto"/>
      <w:jc w:val="center"/>
    </w:pPr>
    <w:rPr>
      <w:rFonts w:ascii="Times New Roman" w:hAnsi="Times New Roman" w:eastAsia="Times New Roman" w:cs="Times New Roman"/>
      <w:i/>
      <w:color w:val="5A5E66"/>
      <w:sz w:val="26"/>
    </w:rPr>
  </w:style>
  <w:style w:type="paragraph" w:customStyle="1" w:styleId="Heading1Custom">
    <w:name w:val="Heading1Custom"/>
    <w:basedOn w:val="Normal"/>
    <w:pPr>
      <w:keepNext/>
      <w:spacing w:before="320" w:after="140"/>
    </w:pPr>
    <w:rPr>
      <w:rFonts w:ascii="Arial" w:hAnsi="Arial" w:eastAsia="Arial" w:cs="Arial"/>
      <w:b/>
      <w:color w:val="7A1F2A"/>
      <w:sz w:val="38"/>
    </w:rPr>
  </w:style>
  <w:style w:type="paragraph" w:customStyle="1" w:styleId="Heading2Custom">
    <w:name w:val="Heading2Custom"/>
    <w:basedOn w:val="Normal"/>
    <w:pPr>
      <w:keepNext/>
      <w:spacing w:before="260" w:after="120"/>
    </w:pPr>
    <w:rPr>
      <w:rFonts w:ascii="Arial" w:hAnsi="Arial" w:eastAsia="Arial" w:cs="Arial"/>
      <w:b/>
      <w:color w:val="254F73"/>
      <w:sz w:val="28"/>
    </w:rPr>
  </w:style>
  <w:style w:type="paragraph" w:customStyle="1" w:styleId="SmallGray">
    <w:name w:val="SmallGray"/>
    <w:basedOn w:val="Normal"/>
    <w:pPr>
      <w:keepNext/>
      <w:spacing w:after="140" w:before="0" w:line="240" w:lineRule="auto"/>
      <w:jc w:val="center"/>
    </w:pPr>
    <w:rPr>
      <w:rFonts w:ascii="Arial" w:hAnsi="Arial" w:eastAsia="Arial" w:cs="Arial"/>
      <w:color w:val="6C7178"/>
      <w:sz w:val="21"/>
    </w:rPr>
  </w:style>
  <w:style w:type="paragraph" w:customStyle="1" w:styleId="QuoteBox">
    <w:name w:val="QuoteBox"/>
    <w:basedOn w:val="Normal"/>
    <w:pPr>
      <w:spacing w:after="180" w:before="160" w:line="276" w:lineRule="auto"/>
      <w:ind w:left="216" w:right="72"/>
    </w:pPr>
    <w:rPr>
      <w:rFonts w:ascii="Arial" w:hAnsi="Arial" w:eastAsia="Arial" w:cs="Arial"/>
      <w:color w:val="202834"/>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