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153D6F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PACKAGE 01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Proposal and Initiative Card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Presentation kit on temporary citizenship and citizenship for the Republic of Armenia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Format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Ready presentation project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Mode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For official presentation and public display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Model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Two statuses: independent review or parallel launch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Package Contents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Brief proposal for the state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Map of all documents in the package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Architecture of statuses and state effect</w:t>
            </w:r>
          </w:p>
        </w:tc>
      </w:tr>
    </w:tbl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Offer</w:t>
      </w:r>
    </w:p>
    <w:p>
      <w:r>
        <w:rPr>
          <w:rFonts w:ascii="Arial" w:hAnsi="Arial" w:eastAsia="Arial" w:cs="Arial"/>
          <w:b w:val="0"/>
          <w:i w:val="0"/>
          <w:color w:val="1F2937"/>
        </w:rPr>
        <w:t>It is proposed to submit for state consideration two legal decisions for persons already residing in the Republic of Armenia and who have confirmed a stable connection with the country: temporary citizenship as a constitutional track and citizenship as a faster legislative track.</w:t>
      </w:r>
    </w:p>
    <w:p>
      <w:r>
        <w:rPr>
          <w:rFonts w:ascii="Arial" w:hAnsi="Arial" w:eastAsia="Arial" w:cs="Arial"/>
          <w:b w:val="0"/>
          <w:i w:val="0"/>
          <w:color w:val="1F2937"/>
        </w:rPr>
        <w:t>Both decisions are aimed at strengthening people, families, businesses, tax base and professional competencies in Armenia. Statuses can be considered either as two independent options with a choice of one, or as a parallel double-circuit package of legal integration.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5F8F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Key Consideration Framework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Temporary citizenship and citizenship are presented as two separate statuses, each of which can be chosen separately by the state.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At the same time, a parallel scenario is provided in which both statuses form a single two-circuit mechanism of legal integration.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What does Armenia get?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Direction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State result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Human capital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Consolidation in Armenia of highly educated specialists, entrepreneurs, doctors, engineers, teachers, researchers and teams already built into the country's economy.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Tax base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Localization of income, contracts, business and long-term business activity within the Armenian jurisdiction.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Jobs and investment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Increase in the number of companies, jobs, service contracts, rental and investment decisions.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Medicine, IT and education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Strengthening industries in which mobile competencies and a rapid influx of qualified personnel are especially important.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Demographics and families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Consolidating households, children, students and long-term presence of families in Armenia.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International reputation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Strengthening the image of Armenia as a modern, legal, humane and predictable jurisdiction of the region.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Two status review modes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721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Mode</w:t>
            </w:r>
          </w:p>
        </w:tc>
        <w:tc>
          <w:tcPr>
            <w:tcW w:type="dxa" w:w="69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Description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Independent Review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Temporary citizenship and citizenship can be presented as two independent projects. The state has the right to choose only one of them as the main route.</w:t>
            </w:r>
          </w:p>
        </w:tc>
      </w:tr>
      <w:tr>
        <w:tc>
          <w:tcPr>
            <w:tcW w:type="dxa" w:w="2721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Parallel launch</w:t>
            </w:r>
          </w:p>
        </w:tc>
        <w:tc>
          <w:tcPr>
            <w:tcW w:type="dxa" w:w="69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Both statuses can be adopted simultaneously: citizenship as a faster path to legal integration, temporary citizenship as an enhanced transitional bridge to full citizenship.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Contents of the presentation kit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1020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№</w:t>
            </w:r>
          </w:p>
        </w:tc>
        <w:tc>
          <w:tcPr>
            <w:tcW w:type="dxa" w:w="8617"/>
            <w:vAlign w:val="center"/>
            <w:shd w:fill="EEF3F8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Document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01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Proposal and Initiative Card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02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Constitutional reform package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03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Temporary citizenship package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04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Citizenship package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05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Business and people: official supporters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06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Official appeal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07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Open letter to the Prime Minister</w:t>
            </w:r>
          </w:p>
        </w:tc>
      </w:tr>
      <w:tr>
        <w:tc>
          <w:tcPr>
            <w:tcW w:type="dxa" w:w="102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08</w:t>
            </w:r>
          </w:p>
        </w:tc>
        <w:tc>
          <w:tcPr>
            <w:tcW w:type="dxa" w:w="8617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NGO support and public coordination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</w:pPr>
      <w:r>
        <w:rPr>
          <w:rFonts w:ascii="Arial" w:hAnsi="Arial" w:eastAsia="Arial" w:cs="Arial"/>
          <w:b/>
          <w:i w:val="0"/>
          <w:color w:val="153D6F"/>
        </w:rPr>
        <w:t>The order of state movement of the package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Accept the proposal for preliminary consideration and determine the format for interdepartmental study.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Evaluate the possibility of selecting one status or launching two statuses in parallel mode.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Coordinate the constitutional and legislative tracks, including official translation and legal and technical editing.</w:t>
      </w:r>
    </w:p>
    <w:p>
      <w:pPr>
        <w:pStyle w:val="ListNumber"/>
      </w:pPr>
      <w:r>
        <w:rPr>
          <w:rFonts w:ascii="Arial" w:hAnsi="Arial" w:eastAsia="Arial" w:cs="Arial"/>
          <w:b w:val="0"/>
          <w:i w:val="0"/>
          <w:color w:val="1F2937"/>
        </w:rPr>
        <w:t>Create a working format for interaction between the state, the expert community, business and public supporters.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FFF7EA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53D6F"/>
              </w:rPr>
              <w:t>Final positioning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package is designed as a ready-made presentation initiative, in which law, state interest and public support are collected into a single system.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1F2937"/>
              </w:rPr>
              <w:t>The main emphasis is on the fact that Armenia does not receive a temporary migration measure, but an instrument for retaining people, capital, competencies and long-term loyalty to the Armenian jurisdiction.</w:t>
            </w:r>
          </w:p>
        </w:tc>
      </w:tr>
    </w:tbl>
    <w:p>
      <w:r>
        <w:rPr>
          <w:rFonts w:ascii="Arial" w:hAnsi="Arial" w:eastAsia="Arial" w:cs="Arial"/>
        </w:rPr>
        <w:t/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Package 01 • Reform map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