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ns1="http://schemas.openxmlformats.org/markup-compatibility/2006" xmlns:ns2="http://schemas.openxmlformats.org/officeDocument/2006/relationships" xmlns:w="http://schemas.openxmlformats.org/wordprocessingml/2006/main" ns1:Ignorable="w14 wp14">
  <w:body>
    <w:tbl>
      <w:tblPr>
        <w:tblW w:type="auto" w:w="0"/>
        <w:tblLook w:firstColumn="1" w:firstRow="1" w:lastColumn="0" w:lastRow="0" w:noHBand="0" w:noVBand="1" w:val="04A0"/>
        <w:jc w:val="center"/>
        <w:tblBorders>
          <w:top w:val="nil" w:sz="0" w:space="0" w:color="C9CED6"/>
          <w:left w:val="nil" w:sz="0" w:space="0" w:color="C9CED6"/>
          <w:bottom w:val="nil" w:sz="0" w:space="0" w:color="C9CED6"/>
          <w:right w:val="nil" w:sz="0" w:space="0" w:color="C9CED6"/>
          <w:insideH w:val="nil" w:sz="0" w:space="0" w:color="C9CED6"/>
          <w:insideV w:val="nil" w:sz="0" w:space="0" w:color="C9CED6"/>
        </w:tblBorders>
        <w:tblCellMar>
          <w:top w:w="0" w:type="dxa"/>
          <w:start w:w="0" w:type="dxa"/>
          <w:bottom w:w="0" w:type="dxa"/>
          <w:end w:w="0" w:type="dxa"/>
        </w:tblCellMar>
      </w:tblPr>
      <w:tblGrid>
        <w:gridCol w:w="3289"/>
        <w:gridCol w:w="3289"/>
        <w:gridCol w:w="3289"/>
      </w:tblGrid>
      <w:tr>
        <w:tc>
          <w:tcPr>
            <w:tcW w:type="dxa" w:w="3175"/>
            <w:shd w:fill="D9282B"/>
            <w:vAlign w:val="center"/>
          </w:tcPr>
          <w:p>
            <w:pPr>
              <w:spacing w:after="50" w:before="0" w:line="269" w:lineRule="auto"/>
            </w:pPr>
            <w:r>
              <w:rPr>
                <w:rFonts w:ascii="Arial" w:hAnsi="Arial" w:eastAsia="Arial" w:cs="Arial"/>
                <w:b w:val="0"/>
                <w:i w:val="0"/>
              </w:rPr>
              <w:t xml:space="preserve"> </w:t>
            </w:r>
          </w:p>
        </w:tc>
        <w:tc>
          <w:tcPr>
            <w:tcW w:type="dxa" w:w="3175"/>
            <w:shd w:fill="1D56A6"/>
            <w:vAlign w:val="center"/>
          </w:tcPr>
          <w:p>
            <w:pPr>
              <w:spacing w:after="50" w:before="0" w:line="269" w:lineRule="auto"/>
            </w:pPr>
            <w:r>
              <w:rPr>
                <w:rFonts w:ascii="Arial" w:hAnsi="Arial" w:eastAsia="Arial" w:cs="Arial"/>
                <w:b w:val="0"/>
                <w:i w:val="0"/>
              </w:rPr>
              <w:t xml:space="preserve"> </w:t>
            </w:r>
          </w:p>
        </w:tc>
        <w:tc>
          <w:tcPr>
            <w:tcW w:type="dxa" w:w="3175"/>
            <w:shd w:fill="F0A533"/>
            <w:vAlign w:val="center"/>
          </w:tcPr>
          <w:p>
            <w:pPr>
              <w:spacing w:after="50" w:before="0" w:line="269" w:lineRule="auto"/>
            </w:pPr>
            <w:r>
              <w:rPr>
                <w:rFonts w:ascii="Arial" w:hAnsi="Arial" w:eastAsia="Arial" w:cs="Arial"/>
                <w:b w:val="0"/>
                <w:i w:val="0"/>
              </w:rPr>
              <w:t xml:space="preserve"> </w:t>
            </w:r>
          </w:p>
        </w:tc>
      </w:tr>
    </w:tbl>
    <w:p>
      <w:r>
        <w:rPr>
          <w:rFonts w:ascii="Arial" w:hAnsi="Arial" w:eastAsia="Arial" w:cs="Arial"/>
        </w:rPr>
        <w:t/>
      </w:r>
    </w:p>
    <w:tbl>
      <w:tblPr>
        <w:tblW w:type="auto" w:w="0"/>
        <w:tblLook w:firstColumn="1" w:firstRow="1" w:lastColumn="0" w:lastRow="0" w:noHBand="0" w:noVBand="1" w:val="04A0"/>
        <w:jc w:val="center"/>
        <w:tblBorders>
          <w:top w:val="single" w:sz="5" w:space="0" w:color="C9CED6"/>
          <w:left w:val="single" w:sz="5" w:space="0" w:color="C9CED6"/>
          <w:bottom w:val="single" w:sz="5" w:space="0" w:color="C9CED6"/>
          <w:right w:val="single" w:sz="5" w:space="0" w:color="C9CED6"/>
          <w:insideH w:val="single" w:sz="5" w:space="0" w:color="C9CED6"/>
          <w:insideV w:val="single" w:sz="5" w:space="0" w:color="C9CED6"/>
        </w:tblBorders>
        <w:tblCellMar>
          <w:top w:w="110" w:type="dxa"/>
          <w:start w:w="110" w:type="dxa"/>
          <w:bottom w:w="110" w:type="dxa"/>
          <w:end w:w="110" w:type="dxa"/>
        </w:tblCellMar>
      </w:tblPr>
      <w:tblGrid>
        <w:gridCol w:w="9866"/>
      </w:tblGrid>
      <w:tr>
        <w:tc>
          <w:tcPr>
            <w:tcW w:type="dxa" w:w="9866"/>
            <w:shd w:fill="0F1720"/>
            <w:vAlign w:val="center"/>
          </w:tcPr>
          <w:p>
            <w:pPr>
              <w:spacing w:after="20" w:before="0" w:line="269" w:lineRule="auto"/>
              <w:jc w:val="left"/>
            </w:pPr>
            <w:r>
              <w:rPr>
                <w:rFonts w:ascii="Arial" w:hAnsi="Arial" w:eastAsia="Arial" w:cs="Arial"/>
                <w:b/>
                <w:i w:val="0"/>
                <w:caps/>
                <w:color w:val="DCE6F2"/>
                <w:sz w:val="23"/>
              </w:rPr>
              <w:t>PACKAGE 02</w:t>
            </w:r>
          </w:p>
          <w:p>
            <w:pPr>
              <w:spacing w:after="80" w:before="0" w:line="269" w:lineRule="auto"/>
            </w:pPr>
            <w:r>
              <w:rPr>
                <w:rFonts w:ascii="Arial" w:hAnsi="Arial" w:eastAsia="Arial" w:cs="Arial"/>
                <w:b/>
                <w:i w:val="0"/>
                <w:color w:val="FFFFFF"/>
                <w:sz w:val="31"/>
              </w:rPr>
              <w:t>Constitutional reform package</w:t>
            </w:r>
          </w:p>
          <w:p>
            <w:pPr>
              <w:spacing w:after="0" w:before="0" w:line="269" w:lineRule="auto"/>
            </w:pPr>
            <w:r>
              <w:rPr>
                <w:rFonts w:ascii="Arial" w:hAnsi="Arial" w:eastAsia="Arial" w:cs="Arial"/>
                <w:b w:val="0"/>
                <w:i w:val="0"/>
                <w:color w:val="DCE6F2"/>
                <w:sz w:val="23"/>
              </w:rPr>
              <w:t>Constitutional track for temporary citizenship, citizenship and guarantees of legal protection</w:t>
            </w:r>
          </w:p>
        </w:tc>
      </w:tr>
    </w:tbl>
    <w:p>
      <w:r>
        <w:rPr>
          <w:rFonts w:ascii="Arial" w:hAnsi="Arial" w:eastAsia="Arial" w:cs="Arial"/>
        </w:rPr>
        <w:t/>
      </w:r>
    </w:p>
    <w:tbl>
      <w:tblPr>
        <w:tblW w:type="auto" w:w="0"/>
        <w:tblLook w:firstColumn="1" w:firstRow="1" w:lastColumn="0" w:lastRow="0" w:noHBand="0" w:noVBand="1" w:val="04A0"/>
        <w:tblCellMar>
          <w:top w:w="85" w:type="dxa"/>
          <w:start w:w="100" w:type="dxa"/>
          <w:bottom w:w="85" w:type="dxa"/>
          <w:end w:w="100" w:type="dxa"/>
        </w:tblCellMar>
        <w:jc w:val="center"/>
        <w:tblBorders>
          <w:top w:val="single" w:sz="6" w:space="0" w:color="BCC4CE"/>
          <w:left w:val="single" w:sz="6" w:space="0" w:color="BCC4CE"/>
          <w:bottom w:val="single" w:sz="6" w:space="0" w:color="BCC4CE"/>
          <w:right w:val="single" w:sz="6" w:space="0" w:color="BCC4CE"/>
          <w:insideH w:val="single" w:sz="6" w:space="0" w:color="BCC4CE"/>
          <w:insideV w:val="single" w:sz="6" w:space="0" w:color="BCC4CE"/>
        </w:tblBorders>
      </w:tblPr>
      <w:tblGrid>
        <w:gridCol w:w="2268"/>
        <w:gridCol w:w="7370"/>
      </w:tblGrid>
      <w:tr>
        <w:tc>
          <w:tcPr>
            <w:tcW w:type="dxa" w:w="4933"/>
            <w:vAlign w:val="center"/>
            <w:tcBorders>
              <w:left w:sz="6" w:val="single" w:color="D7DEE8"/>
              <w:top w:sz="6" w:val="single" w:color="D7DEE8"/>
              <w:right w:sz="6" w:val="single" w:color="D7DEE8"/>
              <w:bottom w:sz="6" w:val="single" w:color="D7DEE8"/>
            </w:tcBorders>
            <w:shd w:fill="EEF2F6" w:color="auto" w:val="clear"/>
          </w:tcPr>
          <w:p>
            <w:pPr>
              <w:spacing w:after="50" w:before="0" w:line="269" w:lineRule="auto"/>
            </w:pPr>
            <w:r>
              <w:rPr>
                <w:rFonts w:ascii="Arial" w:hAnsi="Arial" w:eastAsia="Arial" w:cs="Arial"/>
                <w:b/>
                <w:i w:val="0"/>
                <w:color w:val="27303A"/>
                <w:sz w:val="22"/>
              </w:rPr>
              <w:t>Format</w:t>
            </w:r>
          </w:p>
        </w:tc>
        <w:tc>
          <w:tcPr>
            <w:tcW w:type="dxa" w:w="4933"/>
            <w:vAlign w:val="center"/>
            <w:tcBorders>
              <w:left w:sz="6" w:val="single" w:color="D7DEE8"/>
              <w:top w:sz="6" w:val="single" w:color="D7DEE8"/>
              <w:right w:sz="6" w:val="single" w:color="D7DEE8"/>
              <w:bottom w:sz="6" w:val="single" w:color="D7DEE8"/>
            </w:tcBorders>
          </w:tcPr>
          <w:p>
            <w:pPr>
              <w:spacing w:after="50" w:before="0" w:line="269" w:lineRule="auto"/>
            </w:pPr>
            <w:r>
              <w:rPr>
                <w:rFonts w:ascii="Arial" w:hAnsi="Arial" w:eastAsia="Arial" w:cs="Arial"/>
                <w:b w:val="0"/>
                <w:i w:val="0"/>
                <w:color w:val="222B36"/>
                <w:sz w:val="22"/>
              </w:rPr>
              <w:t>Constitutional package</w:t>
            </w:r>
          </w:p>
        </w:tc>
      </w:tr>
      <w:tr>
        <w:tc>
          <w:tcPr>
            <w:tcW w:type="dxa" w:w="4933"/>
            <w:vAlign w:val="center"/>
            <w:tcBorders>
              <w:left w:sz="6" w:val="single" w:color="D7DEE8"/>
              <w:top w:sz="6" w:val="single" w:color="D7DEE8"/>
              <w:right w:sz="6" w:val="single" w:color="D7DEE8"/>
              <w:bottom w:sz="6" w:val="single" w:color="D7DEE8"/>
            </w:tcBorders>
            <w:shd w:fill="EEF2F6" w:color="auto" w:val="clear"/>
          </w:tcPr>
          <w:p>
            <w:pPr>
              <w:spacing w:after="50" w:before="0" w:line="269" w:lineRule="auto"/>
            </w:pPr>
            <w:r>
              <w:rPr>
                <w:rFonts w:ascii="Arial" w:hAnsi="Arial" w:eastAsia="Arial" w:cs="Arial"/>
                <w:b/>
                <w:i w:val="0"/>
                <w:color w:val="27303A"/>
                <w:sz w:val="22"/>
              </w:rPr>
              <w:t>Target</w:t>
            </w:r>
          </w:p>
        </w:tc>
        <w:tc>
          <w:tcPr>
            <w:tcW w:type="dxa" w:w="4933"/>
            <w:vAlign w:val="center"/>
            <w:tcBorders>
              <w:left w:sz="6" w:val="single" w:color="D7DEE8"/>
              <w:top w:sz="6" w:val="single" w:color="D7DEE8"/>
              <w:right w:sz="6" w:val="single" w:color="D7DEE8"/>
              <w:bottom w:sz="6" w:val="single" w:color="D7DEE8"/>
            </w:tcBorders>
          </w:tcPr>
          <w:p>
            <w:pPr>
              <w:spacing w:after="50" w:before="0" w:line="269" w:lineRule="auto"/>
            </w:pPr>
            <w:r>
              <w:rPr>
                <w:rFonts w:ascii="Arial" w:hAnsi="Arial" w:eastAsia="Arial" w:cs="Arial"/>
                <w:b w:val="0"/>
                <w:i w:val="0"/>
                <w:color w:val="222B36"/>
                <w:sz w:val="22"/>
              </w:rPr>
              <w:t>Give statuses a stable constitutional basis</w:t>
            </w:r>
          </w:p>
        </w:tc>
      </w:tr>
      <w:tr>
        <w:tc>
          <w:tcPr>
            <w:tcW w:type="dxa" w:w="4933"/>
            <w:vAlign w:val="center"/>
            <w:tcBorders>
              <w:left w:sz="6" w:val="single" w:color="D7DEE8"/>
              <w:top w:sz="6" w:val="single" w:color="D7DEE8"/>
              <w:right w:sz="6" w:val="single" w:color="D7DEE8"/>
              <w:bottom w:sz="6" w:val="single" w:color="D7DEE8"/>
            </w:tcBorders>
            <w:shd w:fill="EEF2F6" w:color="auto" w:val="clear"/>
          </w:tcPr>
          <w:p>
            <w:pPr>
              <w:spacing w:after="50" w:before="0" w:line="269" w:lineRule="auto"/>
            </w:pPr>
            <w:r>
              <w:rPr>
                <w:rFonts w:ascii="Arial" w:hAnsi="Arial" w:eastAsia="Arial" w:cs="Arial"/>
                <w:b/>
                <w:i w:val="0"/>
                <w:color w:val="27303A"/>
                <w:sz w:val="22"/>
              </w:rPr>
              <w:t>Result</w:t>
            </w:r>
          </w:p>
        </w:tc>
        <w:tc>
          <w:tcPr>
            <w:tcW w:type="dxa" w:w="4933"/>
            <w:vAlign w:val="center"/>
            <w:tcBorders>
              <w:left w:sz="6" w:val="single" w:color="D7DEE8"/>
              <w:top w:sz="6" w:val="single" w:color="D7DEE8"/>
              <w:right w:sz="6" w:val="single" w:color="D7DEE8"/>
              <w:bottom w:sz="6" w:val="single" w:color="D7DEE8"/>
            </w:tcBorders>
          </w:tcPr>
          <w:p>
            <w:pPr>
              <w:spacing w:after="50" w:before="0" w:line="269" w:lineRule="auto"/>
            </w:pPr>
            <w:r>
              <w:rPr>
                <w:rFonts w:ascii="Arial" w:hAnsi="Arial" w:eastAsia="Arial" w:cs="Arial"/>
                <w:b w:val="0"/>
                <w:i w:val="0"/>
                <w:color w:val="222B36"/>
                <w:sz w:val="22"/>
              </w:rPr>
              <w:t>Strengthen the powers of the law, the limits of political rights and the prohibition of transfer of persons to other states</w:t>
            </w:r>
          </w:p>
        </w:tc>
      </w:tr>
    </w:tbl>
    <w:p>
      <w:r>
        <w:rPr>
          <w:rFonts w:ascii="Arial" w:hAnsi="Arial" w:eastAsia="Arial" w:cs="Arial"/>
        </w:rPr>
        <w:t/>
      </w:r>
    </w:p>
    <w:tbl>
      <w:tblPr>
        <w:tblW w:type="auto" w:w="0"/>
        <w:tblLook w:firstColumn="1" w:firstRow="1" w:lastColumn="0" w:lastRow="0" w:noHBand="0" w:noVBand="1" w:val="04A0"/>
        <w:jc w:val="center"/>
        <w:tblBorders>
          <w:top w:val="single" w:sz="5" w:space="0" w:color="D7DEE7"/>
          <w:left w:val="single" w:sz="5" w:space="0" w:color="D7DEE7"/>
          <w:bottom w:val="single" w:sz="5" w:space="0" w:color="D7DEE7"/>
          <w:right w:val="single" w:sz="5" w:space="0" w:color="D7DEE7"/>
          <w:insideH w:val="single" w:sz="5" w:space="0" w:color="D7DEE7"/>
          <w:insideV w:val="single" w:sz="5" w:space="0" w:color="D7DEE7"/>
        </w:tblBorders>
        <w:tblCellMar>
          <w:top w:w="95" w:type="dxa"/>
          <w:start w:w="110" w:type="dxa"/>
          <w:bottom w:w="95" w:type="dxa"/>
          <w:end w:w="110" w:type="dxa"/>
        </w:tblCellMar>
      </w:tblPr>
      <w:tblGrid>
        <w:gridCol w:w="9866"/>
      </w:tblGrid>
      <w:tr>
        <w:tc>
          <w:tcPr>
            <w:tcW w:type="dxa" w:w="9866"/>
            <w:shd w:fill="F4F7FA" w:color="auto" w:val="clear"/>
            <w:vAlign w:val="center"/>
          </w:tcPr>
          <w:p>
            <w:pPr>
              <w:spacing w:after="80" w:before="0" w:line="269" w:lineRule="auto"/>
            </w:pPr>
            <w:r>
              <w:rPr>
                <w:rFonts w:ascii="Arial" w:hAnsi="Arial" w:eastAsia="Arial" w:cs="Arial"/>
                <w:b/>
                <w:i w:val="0"/>
                <w:color w:val="163F6D"/>
                <w:sz w:val="24"/>
              </w:rPr>
              <w:t>Package Contents</w:t>
            </w:r>
          </w:p>
          <w:p>
            <w:pPr>
              <w:pStyle w:val="ListBullet"/>
              <w:spacing w:after="50" w:line="269" w:lineRule="auto"/>
            </w:pPr>
            <w:r>
              <w:rPr>
                <w:rFonts w:ascii="Arial" w:hAnsi="Arial" w:eastAsia="Arial" w:cs="Arial"/>
                <w:b w:val="0"/>
                <w:i w:val="0"/>
                <w:color w:val="222B36"/>
                <w:sz w:val="21"/>
              </w:rPr>
              <w:t>Amendments to the constitutional architecture of statuses</w:t>
            </w:r>
          </w:p>
          <w:p>
            <w:pPr>
              <w:pStyle w:val="ListBullet"/>
              <w:spacing w:after="50" w:line="269" w:lineRule="auto"/>
            </w:pPr>
            <w:r>
              <w:rPr>
                <w:rFonts w:ascii="Arial" w:hAnsi="Arial" w:eastAsia="Arial" w:cs="Arial"/>
                <w:b w:val="0"/>
                <w:i w:val="0"/>
                <w:color w:val="222B36"/>
                <w:sz w:val="21"/>
              </w:rPr>
              <w:t>Distinction between political rights and legal integration</w:t>
            </w:r>
          </w:p>
          <w:p>
            <w:pPr>
              <w:pStyle w:val="ListBullet"/>
              <w:spacing w:after="50" w:line="269" w:lineRule="auto"/>
            </w:pPr>
            <w:r>
              <w:rPr>
                <w:rFonts w:ascii="Arial" w:hAnsi="Arial" w:eastAsia="Arial" w:cs="Arial"/>
                <w:b w:val="0"/>
                <w:i w:val="0"/>
                <w:color w:val="222B36"/>
                <w:sz w:val="21"/>
              </w:rPr>
              <w:t>Constitutional guarantee of protection and non-extradition</w:t>
            </w:r>
          </w:p>
        </w:tc>
      </w:tr>
    </w:tbl>
    <w:p>
      <w:r>
        <w:rPr>
          <w:rFonts w:ascii="Arial" w:hAnsi="Arial" w:eastAsia="Arial" w:cs="Arial"/>
        </w:rPr>
        <w:br w:type="page"/>
      </w:r>
      <w:r>
        <w:rPr>
          <w:rFonts w:ascii="Arial" w:hAnsi="Arial" w:eastAsia="Arial" w:cs="Arial"/>
        </w:rPr>
        <w:t>
</w:t>
      </w:r>
    </w:p>
    <w:p>
      <w:pPr>
        <w:pStyle w:val="Heading1"/>
        <w:shd w:fill="0F1720"/>
      </w:pPr>
      <w:r>
        <w:rPr>
          <w:rFonts w:ascii="Arial" w:hAnsi="Arial" w:eastAsia="Arial" w:cs="Arial"/>
          <w:b/>
          <w:i w:val="0"/>
          <w:color w:val="FFFFFF"/>
        </w:rPr>
        <w:t>Constitutional framework of the project</w:t>
      </w:r>
    </w:p>
    <w:p>
      <w:pPr>
        <w:shd w:fill="0F1720"/>
      </w:pPr>
      <w:r>
        <w:rPr>
          <w:rFonts w:ascii="Arial" w:hAnsi="Arial" w:eastAsia="Arial" w:cs="Arial"/>
          <w:b w:val="0"/>
          <w:i w:val="0"/>
          <w:color w:val="E6EEF8"/>
        </w:rPr>
        <w:t>The constitutional package fixes the very possibility of the existence of two new forms of stable legal connection with the Republic of Armenia and fixes the limits of their action in the constitutional system of the state.</w:t>
      </w:r>
    </w:p>
    <w:p>
      <w:pPr>
        <w:shd w:fill="0F1720"/>
      </w:pPr>
      <w:r>
        <w:rPr>
          <w:rFonts w:ascii="Arial" w:hAnsi="Arial" w:eastAsia="Arial" w:cs="Arial"/>
          <w:b w:val="0"/>
          <w:i w:val="0"/>
          <w:color w:val="E6EEF8"/>
        </w:rPr>
        <w:t>The purpose of the package is to make temporary citizenship and citizenship legally clear, manageable and compatible with the constitutional order of Armenia.</w:t>
      </w:r>
    </w:p>
    <w:p>
      <w:pPr>
        <w:pStyle w:val="Heading1"/>
        <w:shd w:fill="0F1720"/>
      </w:pPr>
      <w:r>
        <w:rPr>
          <w:rFonts w:ascii="Arial" w:hAnsi="Arial" w:eastAsia="Arial" w:cs="Arial"/>
          <w:b/>
          <w:i w:val="0"/>
          <w:color w:val="FFFFFF"/>
        </w:rPr>
        <w:t>What is fixed at the constitutional level</w:t>
      </w:r>
    </w:p>
    <w:tbl>
      <w:tblPr>
        <w:tblW w:type="auto" w:w="0"/>
        <w:tblLook w:firstColumn="1" w:firstRow="1" w:lastColumn="0" w:lastRow="0" w:noHBand="0" w:noVBand="1" w:val="04A0"/>
        <w:tblCellMar>
          <w:top w:w="85" w:type="dxa"/>
          <w:start w:w="100" w:type="dxa"/>
          <w:bottom w:w="85" w:type="dxa"/>
          <w:end w:w="100" w:type="dxa"/>
        </w:tblCellMar>
        <w:jc w:val="center"/>
        <w:tblBorders>
          <w:top w:val="single" w:sz="5" w:space="0" w:color="C9CED6"/>
          <w:left w:val="single" w:sz="5" w:space="0" w:color="C9CED6"/>
          <w:bottom w:val="single" w:sz="5" w:space="0" w:color="C9CED6"/>
          <w:right w:val="single" w:sz="5" w:space="0" w:color="C9CED6"/>
          <w:insideH w:val="single" w:sz="5" w:space="0" w:color="C9CED6"/>
          <w:insideV w:val="single" w:sz="5" w:space="0" w:color="C9CED6"/>
        </w:tblBorders>
      </w:tblPr>
      <w:tblGrid>
        <w:gridCol w:w="4933"/>
        <w:gridCol w:w="4933"/>
      </w:tblGrid>
      <w:tr>
        <w:trPr>
          <w:tblHeader w:val="true"/>
        </w:trPr>
        <w:tc>
          <w:tcPr>
            <w:tcW w:type="dxa" w:w="2268"/>
            <w:vAlign w:val="center"/>
            <w:shd w:fill="F5F7FA" w:color="auto" w:val="clear"/>
            <w:tcBorders>
              <w:left w:sz="8" w:val="single" w:color="D7DEE8"/>
              <w:top w:sz="8" w:val="single" w:color="D7DEE8"/>
              <w:right w:sz="8" w:val="single" w:color="D7DEE8"/>
              <w:bottom w:sz="8" w:val="single" w:color="D7DEE8"/>
            </w:tcBorders>
          </w:tcPr>
          <w:p>
            <w:pPr>
              <w:spacing w:after="50" w:before="0" w:line="269" w:lineRule="auto"/>
            </w:pPr>
            <w:r>
              <w:rPr>
                <w:rFonts w:ascii="Arial" w:hAnsi="Arial" w:eastAsia="Arial" w:cs="Arial"/>
                <w:b/>
                <w:i w:val="0"/>
                <w:color w:val="27303A"/>
                <w:sz w:val="21"/>
              </w:rPr>
              <w:t>Element</w:t>
            </w:r>
          </w:p>
        </w:tc>
        <w:tc>
          <w:tcPr>
            <w:tcW w:type="dxa" w:w="7370"/>
            <w:vAlign w:val="center"/>
            <w:shd w:fill="1A2636"/>
            <w:tcBorders>
              <w:left w:sz="8" w:val="single" w:color="D7DEE8"/>
              <w:top w:sz="8" w:val="single" w:color="D7DEE8"/>
              <w:right w:sz="8" w:val="single" w:color="D7DEE8"/>
              <w:bottom w:sz="8" w:val="single" w:color="D7DEE8"/>
            </w:tcBorders>
          </w:tcPr>
          <w:p>
            <w:pPr>
              <w:spacing w:after="50" w:before="0" w:line="269" w:lineRule="auto"/>
            </w:pPr>
            <w:r>
              <w:rPr>
                <w:rFonts w:ascii="Arial" w:hAnsi="Arial" w:eastAsia="Arial" w:cs="Arial"/>
                <w:b/>
                <w:i w:val="0"/>
                <w:color w:val="FFFFFF"/>
              </w:rPr>
              <w:t>Constitutional decision</w:t>
            </w:r>
          </w:p>
        </w:tc>
      </w:tr>
      <w:tr>
        <w:tc>
          <w:tcPr>
            <w:tcW w:type="dxa" w:w="2268"/>
            <w:vAlign w:val="center"/>
            <w:tcBorders>
              <w:left w:sz="8" w:val="single" w:color="D7DEE8"/>
              <w:top w:sz="8" w:val="single" w:color="D7DEE8"/>
              <w:right w:sz="8" w:val="single" w:color="D7DEE8"/>
              <w:bottom w:sz="8" w:val="single" w:color="D7DEE8"/>
            </w:tcBorders>
            <w:shd w:fill="F5F7FA" w:color="auto" w:val="clear"/>
          </w:tcPr>
          <w:p>
            <w:pPr>
              <w:spacing w:after="50" w:before="0" w:line="269" w:lineRule="auto"/>
            </w:pPr>
            <w:r>
              <w:rPr>
                <w:rFonts w:ascii="Arial" w:hAnsi="Arial" w:eastAsia="Arial" w:cs="Arial"/>
                <w:b/>
                <w:i w:val="0"/>
                <w:color w:val="27303A"/>
                <w:sz w:val="21"/>
              </w:rPr>
              <w:t>Legal basis</w:t>
            </w:r>
          </w:p>
        </w:tc>
        <w:tc>
          <w:tcPr>
            <w:tcW w:type="dxa" w:w="7370"/>
            <w:vAlign w:val="center"/>
            <w:tcBorders>
              <w:left w:sz="8" w:val="single" w:color="D7DEE8"/>
              <w:top w:sz="8" w:val="single" w:color="D7DEE8"/>
              <w:right w:sz="8" w:val="single" w:color="D7DEE8"/>
              <w:bottom w:sz="8" w:val="single" w:color="D7DEE8"/>
            </w:tcBorders>
            <w:shd w:fill="111827"/>
          </w:tcPr>
          <w:p>
            <w:pPr>
              <w:spacing w:after="50" w:before="0" w:line="269" w:lineRule="auto"/>
            </w:pPr>
            <w:r>
              <w:rPr>
                <w:rFonts w:ascii="Arial" w:hAnsi="Arial" w:eastAsia="Arial" w:cs="Arial"/>
                <w:b w:val="0"/>
                <w:i w:val="0"/>
                <w:color w:val="E6EEF8"/>
              </w:rPr>
              <w:t>The law may establish temporary citizenship and citizenship as special forms of stable legal connection with the state.</w:t>
            </w:r>
          </w:p>
        </w:tc>
      </w:tr>
      <w:tr>
        <w:tc>
          <w:tcPr>
            <w:tcW w:type="dxa" w:w="2268"/>
            <w:vAlign w:val="center"/>
            <w:tcBorders>
              <w:left w:sz="8" w:val="single" w:color="D7DEE8"/>
              <w:top w:sz="8" w:val="single" w:color="D7DEE8"/>
              <w:right w:sz="8" w:val="single" w:color="D7DEE8"/>
              <w:bottom w:sz="8" w:val="single" w:color="D7DEE8"/>
            </w:tcBorders>
            <w:shd w:fill="F5F7FA" w:color="auto" w:val="clear"/>
          </w:tcPr>
          <w:p>
            <w:pPr>
              <w:spacing w:after="50" w:before="0" w:line="269" w:lineRule="auto"/>
            </w:pPr>
            <w:r>
              <w:rPr>
                <w:rFonts w:ascii="Arial" w:hAnsi="Arial" w:eastAsia="Arial" w:cs="Arial"/>
                <w:b/>
                <w:i w:val="0"/>
                <w:color w:val="27303A"/>
                <w:sz w:val="21"/>
              </w:rPr>
              <w:t>Political rights</w:t>
            </w:r>
          </w:p>
        </w:tc>
        <w:tc>
          <w:tcPr>
            <w:tcW w:type="dxa" w:w="7370"/>
            <w:vAlign w:val="center"/>
            <w:tcBorders>
              <w:left w:sz="8" w:val="single" w:color="D7DEE8"/>
              <w:top w:sz="8" w:val="single" w:color="D7DEE8"/>
              <w:right w:sz="8" w:val="single" w:color="D7DEE8"/>
              <w:bottom w:sz="8" w:val="single" w:color="D7DEE8"/>
            </w:tcBorders>
            <w:shd w:fill="111827"/>
          </w:tcPr>
          <w:p>
            <w:pPr>
              <w:spacing w:after="50" w:before="0" w:line="269" w:lineRule="auto"/>
            </w:pPr>
            <w:r>
              <w:rPr>
                <w:rFonts w:ascii="Arial" w:hAnsi="Arial" w:eastAsia="Arial" w:cs="Arial"/>
                <w:b w:val="0"/>
                <w:i w:val="0"/>
                <w:color w:val="E6EEF8"/>
              </w:rPr>
              <w:t>Until they acquire full citizenship, persons with these statuses do not participate in elections and referendums.</w:t>
            </w:r>
          </w:p>
        </w:tc>
      </w:tr>
      <w:tr>
        <w:tc>
          <w:tcPr>
            <w:tcW w:type="dxa" w:w="2268"/>
            <w:vAlign w:val="center"/>
            <w:tcBorders>
              <w:left w:sz="8" w:val="single" w:color="D7DEE8"/>
              <w:top w:sz="8" w:val="single" w:color="D7DEE8"/>
              <w:right w:sz="8" w:val="single" w:color="D7DEE8"/>
              <w:bottom w:sz="8" w:val="single" w:color="D7DEE8"/>
            </w:tcBorders>
            <w:shd w:fill="F5F7FA" w:color="auto" w:val="clear"/>
          </w:tcPr>
          <w:p>
            <w:pPr>
              <w:spacing w:after="50" w:before="0" w:line="269" w:lineRule="auto"/>
            </w:pPr>
            <w:r>
              <w:rPr>
                <w:rFonts w:ascii="Arial" w:hAnsi="Arial" w:eastAsia="Arial" w:cs="Arial"/>
                <w:b/>
                <w:i w:val="0"/>
                <w:color w:val="27303A"/>
                <w:sz w:val="21"/>
              </w:rPr>
              <w:t>Protection</w:t>
            </w:r>
          </w:p>
        </w:tc>
        <w:tc>
          <w:tcPr>
            <w:tcW w:type="dxa" w:w="7370"/>
            <w:vAlign w:val="center"/>
            <w:tcBorders>
              <w:left w:sz="8" w:val="single" w:color="D7DEE8"/>
              <w:top w:sz="8" w:val="single" w:color="D7DEE8"/>
              <w:right w:sz="8" w:val="single" w:color="D7DEE8"/>
              <w:bottom w:sz="8" w:val="single" w:color="D7DEE8"/>
            </w:tcBorders>
            <w:shd w:fill="111827"/>
          </w:tcPr>
          <w:p>
            <w:pPr>
              <w:spacing w:after="50" w:before="0" w:line="269" w:lineRule="auto"/>
            </w:pPr>
            <w:r>
              <w:rPr>
                <w:rFonts w:ascii="Arial" w:hAnsi="Arial" w:eastAsia="Arial" w:cs="Arial"/>
                <w:b w:val="0"/>
                <w:i w:val="0"/>
                <w:color w:val="E6EEF8"/>
              </w:rPr>
              <w:t>A citizen, temporary citizen and person with citizenship are not subject to extradition or transfer to another state.</w:t>
            </w:r>
          </w:p>
        </w:tc>
      </w:tr>
      <w:tr>
        <w:tc>
          <w:tcPr>
            <w:tcW w:type="dxa" w:w="2268"/>
            <w:vAlign w:val="center"/>
            <w:tcBorders>
              <w:left w:sz="8" w:val="single" w:color="D7DEE8"/>
              <w:top w:sz="8" w:val="single" w:color="D7DEE8"/>
              <w:right w:sz="8" w:val="single" w:color="D7DEE8"/>
              <w:bottom w:sz="8" w:val="single" w:color="D7DEE8"/>
            </w:tcBorders>
            <w:shd w:fill="F5F7FA" w:color="auto" w:val="clear"/>
          </w:tcPr>
          <w:p>
            <w:pPr>
              <w:spacing w:after="50" w:before="0" w:line="269" w:lineRule="auto"/>
            </w:pPr>
            <w:r>
              <w:rPr>
                <w:rFonts w:ascii="Arial" w:hAnsi="Arial" w:eastAsia="Arial" w:cs="Arial"/>
                <w:b/>
                <w:i w:val="0"/>
                <w:color w:val="27303A"/>
                <w:sz w:val="21"/>
              </w:rPr>
              <w:t>Transitional provisions</w:t>
            </w:r>
          </w:p>
        </w:tc>
        <w:tc>
          <w:tcPr>
            <w:tcW w:type="dxa" w:w="7370"/>
            <w:vAlign w:val="center"/>
            <w:tcBorders>
              <w:left w:sz="8" w:val="single" w:color="D7DEE8"/>
              <w:top w:sz="8" w:val="single" w:color="D7DEE8"/>
              <w:right w:sz="8" w:val="single" w:color="D7DEE8"/>
              <w:bottom w:sz="8" w:val="single" w:color="D7DEE8"/>
            </w:tcBorders>
            <w:shd w:fill="111827"/>
          </w:tcPr>
          <w:p>
            <w:pPr>
              <w:spacing w:after="50" w:before="0" w:line="269" w:lineRule="auto"/>
            </w:pPr>
            <w:r>
              <w:rPr>
                <w:rFonts w:ascii="Arial" w:hAnsi="Arial" w:eastAsia="Arial" w:cs="Arial"/>
                <w:b w:val="0"/>
                <w:i w:val="0"/>
                <w:color w:val="E6EEF8"/>
              </w:rPr>
              <w:t>The National Assembly and the Government are bringing laws and procedures into line with the new constitutional model.</w:t>
            </w:r>
          </w:p>
        </w:tc>
      </w:tr>
    </w:tbl>
    <w:p>
      <w:r>
        <w:rPr>
          <w:rFonts w:ascii="Arial" w:hAnsi="Arial" w:eastAsia="Arial" w:cs="Arial"/>
        </w:rPr>
        <w:t/>
      </w:r>
    </w:p>
    <w:p>
      <w:pPr>
        <w:pStyle w:val="Heading1"/>
        <w:shd w:fill="0F1720"/>
      </w:pPr>
      <w:r>
        <w:rPr>
          <w:rFonts w:ascii="Arial" w:hAnsi="Arial" w:eastAsia="Arial" w:cs="Arial"/>
          <w:b/>
          <w:i w:val="0"/>
          <w:color w:val="FFFFFF"/>
        </w:rPr>
        <w:t>Proposed version of the constitutional law</w:t>
      </w:r>
    </w:p>
    <w:tbl>
      <w:tblPr>
        <w:tblW w:type="auto" w:w="0"/>
        <w:tblLook w:firstColumn="1" w:firstRow="1" w:lastColumn="0" w:lastRow="0" w:noHBand="0" w:noVBand="1" w:val="04A0"/>
        <w:jc w:val="center"/>
        <w:tblBorders>
          <w:top w:val="single" w:sz="5" w:space="0" w:color="C9CED6"/>
          <w:left w:val="single" w:sz="5" w:space="0" w:color="C9CED6"/>
          <w:bottom w:val="single" w:sz="5" w:space="0" w:color="C9CED6"/>
          <w:right w:val="single" w:sz="5" w:space="0" w:color="C9CED6"/>
          <w:insideH w:val="single" w:sz="5" w:space="0" w:color="C9CED6"/>
          <w:insideV w:val="single" w:sz="5" w:space="0" w:color="C9CED6"/>
        </w:tblBorders>
        <w:tblCellMar>
          <w:top w:w="85" w:type="dxa"/>
          <w:start w:w="100" w:type="dxa"/>
          <w:bottom w:w="85" w:type="dxa"/>
          <w:end w:w="100" w:type="dxa"/>
        </w:tblCellMar>
      </w:tblPr>
      <w:tblGrid>
        <w:gridCol w:w="9866"/>
      </w:tblGrid>
      <w:tr>
        <w:tc>
          <w:tcPr>
            <w:tcW w:type="dxa" w:w="9866"/>
            <w:shd w:fill="0F1720"/>
            <w:vAlign w:val="center"/>
          </w:tcPr>
          <w:p>
            <w:pPr>
              <w:spacing w:after="50" w:before="0" w:line="269" w:lineRule="auto"/>
            </w:pPr>
            <w:r>
              <w:rPr>
                <w:rFonts w:ascii="Arial" w:hAnsi="Arial" w:eastAsia="Arial" w:cs="Arial"/>
                <w:b/>
                <w:i w:val="0"/>
                <w:color w:val="FFFFFF"/>
              </w:rPr>
              <w:t>Article 1. Addition to Article 47</w:t>
            </w:r>
          </w:p>
          <w:p>
            <w:pPr>
              <w:spacing w:after="50" w:before="0" w:line="269" w:lineRule="auto"/>
            </w:pPr>
            <w:r>
              <w:rPr>
                <w:rFonts w:ascii="Arial" w:hAnsi="Arial" w:eastAsia="Arial" w:cs="Arial"/>
                <w:b w:val="0"/>
                <w:i w:val="0"/>
                <w:color w:val="E6EEF8"/>
              </w:rPr>
              <w:t>The law may establish temporary citizenship of the Republic of Armenia and citizenship of the Republic of Armenia as special forms of stable legal connection with the state, determine the grounds for their acquisition, validity period, scope of rights and obligations, termination procedure and guarantees of protection of such persons.</w:t>
            </w:r>
          </w:p>
        </w:tc>
      </w:tr>
    </w:tbl>
    <w:p>
      <w:r>
        <w:rPr>
          <w:rFonts w:ascii="Arial" w:hAnsi="Arial" w:eastAsia="Arial" w:cs="Arial"/>
        </w:rPr>
        <w:t/>
      </w:r>
    </w:p>
    <w:tbl>
      <w:tblPr>
        <w:tblW w:type="auto" w:w="0"/>
        <w:tblLook w:firstColumn="1" w:firstRow="1" w:lastColumn="0" w:lastRow="0" w:noHBand="0" w:noVBand="1" w:val="04A0"/>
        <w:jc w:val="center"/>
        <w:tblBorders>
          <w:top w:val="single" w:sz="5" w:space="0" w:color="C9CED6"/>
          <w:left w:val="single" w:sz="5" w:space="0" w:color="C9CED6"/>
          <w:bottom w:val="single" w:sz="5" w:space="0" w:color="C9CED6"/>
          <w:right w:val="single" w:sz="5" w:space="0" w:color="C9CED6"/>
          <w:insideH w:val="single" w:sz="5" w:space="0" w:color="C9CED6"/>
          <w:insideV w:val="single" w:sz="5" w:space="0" w:color="C9CED6"/>
        </w:tblBorders>
        <w:tblCellMar>
          <w:top w:w="85" w:type="dxa"/>
          <w:start w:w="100" w:type="dxa"/>
          <w:bottom w:w="85" w:type="dxa"/>
          <w:end w:w="100" w:type="dxa"/>
        </w:tblCellMar>
      </w:tblPr>
      <w:tblGrid>
        <w:gridCol w:w="9866"/>
      </w:tblGrid>
      <w:tr>
        <w:tc>
          <w:tcPr>
            <w:tcW w:type="dxa" w:w="9866"/>
            <w:shd w:fill="0F1720"/>
            <w:vAlign w:val="center"/>
          </w:tcPr>
          <w:p>
            <w:pPr>
              <w:spacing w:after="50" w:before="0" w:line="269" w:lineRule="auto"/>
            </w:pPr>
            <w:r>
              <w:rPr>
                <w:rFonts w:ascii="Arial" w:hAnsi="Arial" w:eastAsia="Arial" w:cs="Arial"/>
                <w:b/>
                <w:i w:val="0"/>
                <w:color w:val="FFFFFF"/>
              </w:rPr>
              <w:t>Article 2. Addition to Article 48</w:t>
            </w:r>
          </w:p>
          <w:p>
            <w:pPr>
              <w:spacing w:after="50" w:before="0" w:line="269" w:lineRule="auto"/>
            </w:pPr>
            <w:r>
              <w:rPr>
                <w:rFonts w:ascii="Arial" w:hAnsi="Arial" w:eastAsia="Arial" w:cs="Arial"/>
                <w:b w:val="0"/>
                <w:i w:val="0"/>
                <w:color w:val="E6EEF8"/>
              </w:rPr>
              <w:t>Persons who have temporary citizenship of the Republic of Armenia or civil affiliation with the Republic of Armenia do not participate in elections and referendums until they acquire full citizenship, unless otherwise expressly established by the Constitution.</w:t>
            </w:r>
          </w:p>
        </w:tc>
      </w:tr>
    </w:tbl>
    <w:p>
      <w:r>
        <w:rPr>
          <w:rFonts w:ascii="Arial" w:hAnsi="Arial" w:eastAsia="Arial" w:cs="Arial"/>
        </w:rPr>
        <w:t/>
      </w:r>
    </w:p>
    <w:tbl>
      <w:tblPr>
        <w:tblW w:type="auto" w:w="0"/>
        <w:tblLook w:firstColumn="1" w:firstRow="1" w:lastColumn="0" w:lastRow="0" w:noHBand="0" w:noVBand="1" w:val="04A0"/>
        <w:jc w:val="center"/>
        <w:tblBorders>
          <w:top w:val="single" w:sz="5" w:space="0" w:color="C9CED6"/>
          <w:left w:val="single" w:sz="5" w:space="0" w:color="C9CED6"/>
          <w:bottom w:val="single" w:sz="5" w:space="0" w:color="C9CED6"/>
          <w:right w:val="single" w:sz="5" w:space="0" w:color="C9CED6"/>
          <w:insideH w:val="single" w:sz="5" w:space="0" w:color="C9CED6"/>
          <w:insideV w:val="single" w:sz="5" w:space="0" w:color="C9CED6"/>
        </w:tblBorders>
        <w:tblCellMar>
          <w:top w:w="85" w:type="dxa"/>
          <w:start w:w="100" w:type="dxa"/>
          <w:bottom w:w="85" w:type="dxa"/>
          <w:end w:w="100" w:type="dxa"/>
        </w:tblCellMar>
      </w:tblPr>
      <w:tblGrid>
        <w:gridCol w:w="9866"/>
      </w:tblGrid>
      <w:tr>
        <w:tc>
          <w:tcPr>
            <w:tcW w:type="dxa" w:w="9866"/>
            <w:shd w:fill="0F1720"/>
            <w:vAlign w:val="center"/>
          </w:tcPr>
          <w:p>
            <w:pPr>
              <w:spacing w:after="50" w:before="0" w:line="269" w:lineRule="auto"/>
            </w:pPr>
            <w:r>
              <w:rPr>
                <w:rFonts w:ascii="Arial" w:hAnsi="Arial" w:eastAsia="Arial" w:cs="Arial"/>
                <w:b/>
                <w:i w:val="0"/>
                <w:color w:val="FFFFFF"/>
              </w:rPr>
              <w:t>Article 3. Amendment of Article 55</w:t>
            </w:r>
          </w:p>
          <w:p>
            <w:pPr>
              <w:spacing w:after="50" w:before="0" w:line="269" w:lineRule="auto"/>
            </w:pPr>
            <w:r>
              <w:rPr>
                <w:rFonts w:ascii="Arial" w:hAnsi="Arial" w:eastAsia="Arial" w:cs="Arial"/>
                <w:b w:val="0"/>
                <w:i w:val="0"/>
                <w:color w:val="E6EEF8"/>
              </w:rPr>
              <w:t>A citizen of the Republic of Armenia, a person with temporary citizenship of the Republic of Armenia and a person with citizenship of the Republic of Armenia are not subject to extradition or transfer to another state.</w:t>
            </w:r>
          </w:p>
        </w:tc>
      </w:tr>
    </w:tbl>
    <w:p>
      <w:r>
        <w:rPr>
          <w:rFonts w:ascii="Arial" w:hAnsi="Arial" w:eastAsia="Arial" w:cs="Arial"/>
        </w:rPr>
        <w:t/>
      </w:r>
    </w:p>
    <w:tbl>
      <w:tblPr>
        <w:tblW w:type="auto" w:w="0"/>
        <w:tblLook w:firstColumn="1" w:firstRow="1" w:lastColumn="0" w:lastRow="0" w:noHBand="0" w:noVBand="1" w:val="04A0"/>
        <w:jc w:val="center"/>
        <w:tblBorders>
          <w:top w:val="single" w:sz="5" w:space="0" w:color="C9CED6"/>
          <w:left w:val="single" w:sz="5" w:space="0" w:color="C9CED6"/>
          <w:bottom w:val="single" w:sz="5" w:space="0" w:color="C9CED6"/>
          <w:right w:val="single" w:sz="5" w:space="0" w:color="C9CED6"/>
          <w:insideH w:val="single" w:sz="5" w:space="0" w:color="C9CED6"/>
          <w:insideV w:val="single" w:sz="5" w:space="0" w:color="C9CED6"/>
        </w:tblBorders>
        <w:tblCellMar>
          <w:top w:w="85" w:type="dxa"/>
          <w:start w:w="100" w:type="dxa"/>
          <w:bottom w:w="85" w:type="dxa"/>
          <w:end w:w="100" w:type="dxa"/>
        </w:tblCellMar>
      </w:tblPr>
      <w:tblGrid>
        <w:gridCol w:w="9866"/>
      </w:tblGrid>
      <w:tr>
        <w:tc>
          <w:tcPr>
            <w:tcW w:type="dxa" w:w="9866"/>
            <w:shd w:fill="0F1720"/>
            <w:vAlign w:val="center"/>
          </w:tcPr>
          <w:p>
            <w:pPr>
              <w:spacing w:after="50" w:before="0" w:line="269" w:lineRule="auto"/>
            </w:pPr>
            <w:r>
              <w:rPr>
                <w:rFonts w:ascii="Arial" w:hAnsi="Arial" w:eastAsia="Arial" w:cs="Arial"/>
                <w:b/>
                <w:i w:val="0"/>
                <w:color w:val="FFFFFF"/>
              </w:rPr>
              <w:t>Article 4. Final provisions</w:t>
            </w:r>
          </w:p>
          <w:p>
            <w:pPr>
              <w:spacing w:after="50" w:before="0" w:line="269" w:lineRule="auto"/>
            </w:pPr>
            <w:r>
              <w:rPr>
                <w:rFonts w:ascii="Arial" w:hAnsi="Arial" w:eastAsia="Arial" w:cs="Arial"/>
                <w:b w:val="0"/>
                <w:i w:val="0"/>
                <w:color w:val="E6EEF8"/>
              </w:rPr>
              <w:t>The National Assembly and the Government of the Republic of Armenia, within the prescribed period, bring laws and by-laws into conformity with this constitutional law.</w:t>
            </w:r>
          </w:p>
          <w:p>
            <w:pPr>
              <w:spacing w:after="50" w:before="0" w:line="269" w:lineRule="auto"/>
            </w:pPr>
            <w:r>
              <w:rPr>
                <w:rFonts w:ascii="Arial" w:hAnsi="Arial" w:eastAsia="Arial" w:cs="Arial"/>
                <w:b w:val="0"/>
                <w:i w:val="0"/>
                <w:color w:val="E6EEF8"/>
              </w:rPr>
              <w:t>Laws on temporary citizenship and citizenship are introduced taking into account the constitutional model enshrined in this law.</w:t>
            </w:r>
          </w:p>
        </w:tc>
      </w:tr>
    </w:tbl>
    <w:p>
      <w:r>
        <w:rPr>
          <w:rFonts w:ascii="Arial" w:hAnsi="Arial" w:eastAsia="Arial" w:cs="Arial"/>
        </w:rPr>
        <w:t/>
      </w:r>
    </w:p>
    <w:p>
      <w:pPr>
        <w:pStyle w:val="Heading1"/>
        <w:shd w:fill="0F1720"/>
      </w:pPr>
      <w:r>
        <w:rPr>
          <w:rFonts w:ascii="Arial" w:hAnsi="Arial" w:eastAsia="Arial" w:cs="Arial"/>
          <w:b/>
          <w:i w:val="0"/>
          <w:color w:val="FFFFFF"/>
        </w:rPr>
        <w:t>State result</w:t>
      </w:r>
    </w:p>
    <w:p>
      <w:pPr>
        <w:pStyle w:val="ListBullet"/>
        <w:shd w:fill="0F1720"/>
      </w:pPr>
      <w:r>
        <w:rPr>
          <w:rFonts w:ascii="Arial" w:hAnsi="Arial" w:eastAsia="Arial" w:cs="Arial"/>
          <w:b w:val="0"/>
          <w:i w:val="0"/>
          <w:color w:val="E6EEF8"/>
        </w:rPr>
        <w:t>The constitutional level makes the reform sustainable and predictable.</w:t>
      </w:r>
    </w:p>
    <w:p>
      <w:pPr>
        <w:pStyle w:val="ListBullet"/>
        <w:shd w:fill="0F1720"/>
      </w:pPr>
      <w:r>
        <w:rPr>
          <w:rFonts w:ascii="Arial" w:hAnsi="Arial" w:eastAsia="Arial" w:cs="Arial"/>
          <w:b w:val="0"/>
          <w:i w:val="0"/>
          <w:color w:val="E6EEF8"/>
        </w:rPr>
        <w:t>The state receives a clear boundary between legal integration and political participation.</w:t>
      </w:r>
    </w:p>
    <w:p>
      <w:pPr>
        <w:pStyle w:val="ListBullet"/>
        <w:shd w:fill="0F1720"/>
      </w:pPr>
      <w:r>
        <w:rPr>
          <w:rFonts w:ascii="Arial" w:hAnsi="Arial" w:eastAsia="Arial" w:cs="Arial"/>
          <w:b w:val="0"/>
          <w:i w:val="0"/>
          <w:color w:val="E6EEF8"/>
        </w:rPr>
        <w:t>Armenia is strengthening confidence in its jurisdiction as a space of long-term protection and legal certainty.</w:t>
      </w:r>
    </w:p>
    <w:sectPr w:rsidR="00FC693F" w:rsidRPr="0006063C" w:rsidSect="00034616">
      <w:footerReference w:type="default" ns2:id="rId9"/>
      <w:headerReference w:type="default" ns2:id="rId10"/>
      <w:pgSz w:w="11906" w:h="16838"/>
      <w:pgMar w:top="907" w:right="1020" w:bottom="907" w:left="1020"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80" w:after="0" w:line="240" w:lineRule="auto"/>
      <w:jc w:val="center"/>
      <w:pBdr>
        <w:top w:val="single" w:sz="8" w:space="6" w:color="D4DAE3"/>
      </w:pBdr>
    </w:pPr>
    <w:r>
      <w:rPr>
        <w:rFonts w:ascii="Arial" w:hAnsi="Arial" w:eastAsia="Arial" w:cs="Arial"/>
        <w:color w:val="7B8694"/>
        <w:sz w:val="18"/>
      </w:rPr>
      <w:t>Package 02 • Constitutional package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10" w:line="276" w:lineRule="auto" w:before="0"/>
    </w:pPr>
    <w:rPr>
      <w:rFonts w:ascii="Arial" w:hAnsi="Arial" w:eastAsia="Arial" w:cs="Arial"/>
      <w:color w:val="222B36"/>
      <w:sz w:val="22"/>
      <w:lang w:val="ru-RU"/>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40"/>
      <w:outlineLvl w:val="0"/>
    </w:pPr>
    <w:rPr>
      <w:rFonts w:asciiTheme="majorHAnsi" w:eastAsiaTheme="majorEastAsia" w:hAnsiTheme="majorHAnsi" w:cstheme="majorBidi" w:ascii="Arial" w:hAnsi="Arial" w:eastAsia="Arial" w:cs="Arial"/>
      <w:b/>
      <w:bCs/>
      <w:color w:val="163F6D"/>
      <w:sz w:val="38"/>
      <w:szCs w:val="28"/>
      <w:lang w:val="ru-RU"/>
    </w:rPr>
  </w:style>
  <w:style w:type="paragraph" w:styleId="Heading2">
    <w:name w:val="heading 2"/>
    <w:basedOn w:val="Normal"/>
    <w:next w:val="Normal"/>
    <w:link w:val="Heading2Char"/>
    <w:uiPriority w:val="9"/>
    <w:unhideWhenUsed/>
    <w:qFormat/>
    <w:rsid w:val="00FC693F"/>
    <w:pPr>
      <w:keepNext/>
      <w:keepLines/>
      <w:spacing w:before="240" w:after="100"/>
      <w:outlineLvl w:val="1"/>
    </w:pPr>
    <w:rPr>
      <w:rFonts w:asciiTheme="majorHAnsi" w:eastAsiaTheme="majorEastAsia" w:hAnsiTheme="majorHAnsi" w:cstheme="majorBidi" w:ascii="Arial" w:hAnsi="Arial" w:eastAsia="Arial" w:cs="Arial"/>
      <w:b/>
      <w:bCs/>
      <w:color w:val="153D6F"/>
      <w:sz w:val="25"/>
      <w:szCs w:val="26"/>
      <w:lang w:val="ru-RU"/>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ascii="Arial" w:hAnsi="Arial" w:eastAsia="Arial" w:cs="Arial"/>
      <w:b/>
      <w:bCs/>
      <w:color w:val="153D6F"/>
      <w:sz w:val="22"/>
      <w:lang w:val="ru-RU"/>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40" w:line="252" w:lineRule="auto" w:before="0"/>
      <w:contextualSpacing/>
    </w:pPr>
    <w:rPr>
      <w:rFonts w:asciiTheme="majorHAnsi" w:eastAsiaTheme="majorEastAsia" w:hAnsiTheme="majorHAnsi" w:cstheme="majorBidi" w:ascii="Arial" w:hAnsi="Arial" w:eastAsia="Arial" w:cs="Arial"/>
      <w:b/>
      <w:color w:val="17365D" w:themeColor="text2" w:themeShade="BF"/>
      <w:spacing w:val="5"/>
      <w:kern w:val="28"/>
      <w:sz w:val="44"/>
      <w:szCs w:val="52"/>
      <w:lang w:val="ru-RU"/>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before="0" w:after="360"/>
    </w:pPr>
    <w:rPr>
      <w:rFonts w:asciiTheme="majorHAnsi" w:eastAsiaTheme="majorEastAsia" w:hAnsiTheme="majorHAnsi" w:cstheme="majorBidi" w:ascii="Arial" w:hAnsi="Arial" w:eastAsia="Arial" w:cs="Arial"/>
      <w:i/>
      <w:iCs/>
      <w:color w:val="4F81BD" w:themeColor="accent1"/>
      <w:spacing w:val="15"/>
      <w:sz w:val="21"/>
      <w:szCs w:val="24"/>
      <w:lang w:val="ru-RU"/>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spacing w:line="269" w:lineRule="auto" w:before="0" w:after="100"/>
      <w:ind w:left="720"/>
      <w:contextualSpacing/>
    </w:pPr>
    <w:rPr>
      <w:rFonts w:ascii="Arial" w:hAnsi="Arial" w:eastAsia="Arial" w:cs="Arial"/>
      <w:sz w:val="21"/>
    </w:r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line="276" w:lineRule="auto" w:before="0" w:after="90"/>
      <w:contextualSpacing/>
    </w:pPr>
    <w:rPr>
      <w:rFonts w:ascii="Arial" w:hAnsi="Arial" w:eastAsia="Arial" w:cs="Arial"/>
      <w:color w:val="222B36"/>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line="276" w:lineRule="auto" w:before="0" w:after="90"/>
      <w:contextualSpacing/>
    </w:pPr>
    <w:rPr>
      <w:rFonts w:ascii="Arial" w:hAnsi="Arial" w:eastAsia="Arial" w:cs="Arial"/>
      <w:color w:val="222B36"/>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