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/>
            </w: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/>
            </w: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/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SmallGray"/>
        <w:jc w:val="center"/>
      </w:pPr>
      <w:r>
        <w:rPr>
          <w:rFonts w:ascii="Arial" w:hAnsi="Arial" w:eastAsia="Arial" w:cs="Arial"/>
        </w:rPr>
        <w:t>ՓԱԹԵԹ 01 • ՊԵՏԱԿԱՆ ՆԵՐԿԱՅԱՑՈՒՑՉՈՒԹՅԱՆ ՀԱՄԱՐ ԱՇԽԱՏԱՆՔԱՅԻՆ ՌՈՒՍԵՐԵՆԻ ՀՐԱՏԱՐԱԿՈՒՄ.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Փաստաթղթերի առանձին փաթեթների գրանցամատյան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Հայաստանի Հանրապետությունում ժամանակավոր քաղաքացիության, հատուկ քաղաքացիության, ոչ էքստրադիցիայի և ՀԿ-ների վերաբնակեցման վերաբերյալ նախաձեռնությունը ներկայացնելու համար ինքնավար փաթեթների փաթեթ.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Ամսաթիվ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28 մարտի, 2026թ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Կարգավիճակ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Պատրաստված աշխատանքային փաթեթ պետական ​​ներկայացման, ներկայացման և հետագա հայալեզու իրավական և տեխնիկական ադապտացիայի համար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Նշում. Բոլոր նախագծերը կազմված են ռուսերեն՝ որպես աշխատանքային տարբերակ պետական ​​ներկայացման համար։ Հայաստանի Հանրապետության մարմիններին պաշտոնական ներկայացման համար անհրաժեշտ է զուգահեռ հայերեն լեզվով իրավատեխնիկական հրատարակություն և վերջնական ստուգում ARLIS-ում գործող ակտերի տարբերակներով:</w:t>
      </w:r>
      <w:r>
        <w:rPr>
          <w:rFonts w:ascii="Arial" w:hAnsi="Arial" w:eastAsia="Arial" w:cs="Arial"/>
        </w:rPr>
        <w:t/>
      </w:r>
    </w:p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Custom"/>
      </w:pPr>
      <w:r>
        <w:rPr>
          <w:rFonts w:ascii="Arial" w:hAnsi="Arial" w:eastAsia="Arial" w:cs="Arial"/>
        </w:rPr>
        <w:t>1. Ռեեստրի նպատակը</w:t>
      </w:r>
    </w:p>
    <w:p>
      <w:pPr/>
      <w:r>
        <w:rPr>
          <w:rFonts w:ascii="Arial" w:hAnsi="Arial" w:eastAsia="Arial" w:cs="Arial"/>
        </w:rPr>
        <w:t>Այս ռեգիստրը միավորում է մեկ միասնական համակարգի մեջ նախաձեռնության պետական ​​ներկայացման համար պատրաստված փաստաթղթերի բոլոր անկախ փաթեթները։ Դա անհրաժեշտ է, որպեսզի աշխատանքի յուրաքանչյուր ոլորտ առանձին ներկայացվի, քննարկվի և վերջնական տեսքի բերվի՝ սահմանադրական բլոկ, ժամանակավոր քաղաքացիության մասին օրենք, հատուկ քաղաքացիության մասին անկախ օրենք, ՀԿ փաթեթ և պաշտոնական բողոքարկման փաթեթ։</w:t>
      </w:r>
    </w:p>
    <w:p>
      <w:pPr/>
      <w:r>
        <w:rPr>
          <w:rFonts w:ascii="Arial" w:hAnsi="Arial" w:eastAsia="Arial" w:cs="Arial"/>
        </w:rPr>
        <w:t xml:space="preserve">Փաթեթների կառուցման հիմնական սկզբունքն այն է, որ յուրաքանչյուր փաթեթ պետք է լինի ինքնուրույն: Յուրաքանչյուր փաստաթղթի ներսում արդեն ներկառուցված են ոչ միայն ակտերի նախագծեր, այլ նաև ուղեկցող նյութեր՝ նպատակներ, դրդապատճառներ, առավելություններ, ակնկալվող հետևանքներ, ռիսկեր, իրավական հերքումներ, համապատասխան փոփոխությունների առաջարկներ և հավելվածների ցանկ: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2. Անկախ փաթեթների քարտեզ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737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№</w:t>
            </w:r>
          </w:p>
        </w:tc>
        <w:tc>
          <w:tcPr>
            <w:tcW w:type="dxa" w:w="3345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Պլաստիկ տոպրակ</w:t>
            </w:r>
          </w:p>
        </w:tc>
        <w:tc>
          <w:tcPr>
            <w:tcW w:type="dxa" w:w="5159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Բովանդակությունը և նպատակը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01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Ռեեստրի և փաթեթի քարտեզ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Բարեփոխման ընդհանուր քարտեզը, ներդրման կարգը, բոլոր փաթեթների ցանկը և ընդհանուր իրավական հերքումները: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02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Սահմանադրական փաթեթ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Սահմանադրության փոփոխություններ՝ ժամանակավոր քաղաքացիության, հատուկ քաղաքացիության և հանձնման բացարձակ արգելման համար.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03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Ժամանակավոր քաղաքացիության փաթեթ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Օրենքի նախագիծ, ուղեկցող փոփոխություններ, դրդապատճառներ, օգուտներ, ռիսկեր և վարչարարության մոդել.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04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Քաղաքացիության հատուկ փաթեթ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Քաղաքացիություն՝ իրավունքներով հնարավորինս մոտ քաղաքացիությանը, առանձին կարգավորող որոշմամբ։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05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Relocant ՀԿ Փաթեթ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Հայեցակարգ, առաքելություն, նպատակներ, կանոնադրության նախագիծ, կառավարման մոդել, աշխատանքային ծրագիր և գրանցման ստուգաթերթ: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06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Պետական ​​կոչերի և հանրային քարոզարշավի փաթեթ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Պաշտոնական հասցե, բաց նամակ, ամփոփագիր, ներկայացման բանաձևեր և հավելվածների հավաքածու: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3. Բարեփոխման ընդհանուր տրամաբանությունը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Հիմնական մոդել 1 - ժամանակավոր քաղաքացիություն: Առնվազն վեց ամիս օրինական բնակության վայրից հետո անձը ստանում է ժամանակավոր քաղաքացիություն երեք տարի ժամկետով, կապեր է պահպանում իր ծագման պետության հետ և իրավունք ունի այս ընթացքում դիմել Հայաստանի Հանրապետության քաղաքացիություն ստանալու համար: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Հիմնական մոդել 2 - Հատուկ քաղաքացիություն: Սա քաղաքացիության անկախ և ավելի ճկուն կարգավիճակ է՝ առօրյա իրավունքների շրջանակով հնարավորինս մոտ քաղաքացիությանը, բայց կառուցվածքային առումով տարանջատված լիարժեք քաղաքացիությունից։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Սահմանադրական երաշխիք՝ չհանձնում. Առաջարկվում է համախմբել քաղաքացիների, ժամանակավոր քաղաքացիների և հատուկ քաղաքացիություն ունեցող անձանց օտարերկրյա պետություններին, այդ թվում՝ Ռուսաստանի Դաշնություն հանձնելու բացարձակ արգելքը։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Ինստիտուցիոնալ աջակցություն՝ վերաբնակիչների շահույթ չհետապնդող կազմակերպություններ: Անհրաժեշտ է առանձին շահույթ չհետապնդող կառույց, որը հանդես կգա որպես դիմորդ, քննությունների համակարգող, կապի կենտրոն և հարթակ շահառուներին աջակցելու համար: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pStyle w:val="Heading1Custom"/>
      </w:pPr>
      <w:r>
        <w:rPr>
          <w:rFonts w:ascii="Arial" w:hAnsi="Arial" w:eastAsia="Arial" w:cs="Arial"/>
        </w:rPr>
        <w:t>4. Ինչո՞ւ է մեզ անհրաժեշտ միաժամանակ երկու կարգավիճակ: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Ժամանակավոր քաղաքացիությունը համապատասխանում է հաճախորդի սկզբնական քաղաքական գաղափարին՝ եռամյա հորիզոնով քաղաքացիությանը հնարավորինս մոտ կարգավիճակ և լիարժեք քաղաքացիության անցնելու իրավունք: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Հատուկ քաղաքացիությունը ստեղծում է պահեստային, ավելի անցանելի և նվազ հակասական ուղի, եթե պետությունը չի ցանկանում անմիջապես ներմուծել քաղաքացիության նոր տեսակ կամ չի ցանկանում առաջին փուլում ձեռնարկել լայնածավալ սահմանադրական բարեփոխումներ:</w:t>
      </w:r>
      <w:r>
        <w:rPr>
          <w:rFonts w:ascii="Arial" w:hAnsi="Arial" w:eastAsia="Arial" w:cs="Arial"/>
        </w:rPr>
        <w:t xml:space="preserve"/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Երկու մոդելների միաժամանակյա պատրաստումն ամրապնդում է սակարկությունների դիրքերը. պետությունն ունի ընտրություն ավելի հավակնոտ մոդելի և ավելի արագ ներդրվող մոդելի միջև:</w:t>
      </w:r>
      <w:r>
        <w:rPr>
          <w:rFonts w:ascii="Arial" w:hAnsi="Arial" w:eastAsia="Arial" w:cs="Arial"/>
        </w:rPr>
        <w:t xml:space="preserve"/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5. Ընդհանուր նպատակներ, շարժառիթներ և օգուտներ</w:t>
      </w:r>
    </w:p>
    <w:p>
      <w:pPr>
        <w:pStyle w:val="Heading2Custom"/>
      </w:pPr>
      <w:r>
        <w:rPr>
          <w:rFonts w:ascii="Arial" w:hAnsi="Arial" w:eastAsia="Arial" w:cs="Arial"/>
        </w:rPr>
        <w:t>5.1. Նպատակներ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Հայաստանում արդեն արմատացած վերաբնակներին տալ կայուն իրավական կարգավիճակ, որը չի ստիպում նրանց վերադառնալ ոչ անվտանգ իրավազորություն՝ հանուն հիմնական փաստաթղթերի.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ստեղծել օրինական և թափանցիկ ուղի դե ֆակտո ինտեգրումից դեպի ավելի ամուր իրավական կապ Հայաստանի Հանրապետության հետ.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ամրապնդել Հայաստանի հեղինակությունը՝ որպես մարդասիրական, անվտանգություն և իրավական որոշակիություն միավորող պետության համբավը.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ստեղծել մարդկային կապիտալի, ընտանիքների, ձեռնարկատերերի, մասնագետների և հարկային ռեզիդենտների ներգրավման և պահպանման գործիք:</w:t>
      </w:r>
      <w:r>
        <w:rPr>
          <w:rFonts w:ascii="Arial" w:hAnsi="Arial" w:eastAsia="Arial" w:cs="Arial"/>
        </w:rPr>
        <w:t/>
      </w:r>
    </w:p>
    <w:p>
      <w:pPr>
        <w:pStyle w:val="Heading2Custom"/>
      </w:pPr>
      <w:r>
        <w:rPr>
          <w:rFonts w:ascii="Arial" w:hAnsi="Arial" w:eastAsia="Arial" w:cs="Arial"/>
        </w:rPr>
        <w:t>5.2. շարժառիթներ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Որոշ վերաբնակիչներ արդեն ապրում են, աշխատում, բնակարաններ են վարձում, երեխաներին սովորեցնում, հարկեր են վճարում և երկարաժամկետ ծրագրեր են կազմում Հայաստանում.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Գտնվելու և նույնիսկ բնակության հատուկ տեսակների գոյություն ունեցող ռեժիմները ամբողջությամբ չեն ծածկում երկարաժամկետ անվտանգության, բնակության երկրի հետ ներքին իրավական կապի և փաստաթղթավորման կայուն ռեժիմի խնդիրը.</w:t>
      </w:r>
      <w:r>
        <w:rPr>
          <w:rFonts w:ascii="Arial" w:hAnsi="Arial" w:eastAsia="Arial" w:cs="Arial"/>
        </w:rPr>
        <w:t xml:space="preserve"/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որոշ դիմորդներ ունեն անձնագրային և այլ փաստաթղթային հարցեր լուծելու համար իրենց ծագման երկիր վերադառնալու հարկադրված լինելու օբյեկտիվ ռիսկը.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Հայաստանի գործող օրենքն արդեն գիտի կարգավիճակը քաղաքացիությանը մոտեցնելու գործիքները, ինչը նշանակում է, որ բարեփոխումը հայեցակարգային առումով խորթ չէ իրավական համակարգին։</w:t>
      </w:r>
      <w:r>
        <w:rPr>
          <w:rFonts w:ascii="Arial" w:hAnsi="Arial" w:eastAsia="Arial" w:cs="Arial"/>
        </w:rPr>
        <w:t/>
      </w:r>
    </w:p>
    <w:p>
      <w:pPr>
        <w:pStyle w:val="Heading2Custom"/>
      </w:pPr>
      <w:r>
        <w:rPr>
          <w:rFonts w:ascii="Arial" w:hAnsi="Arial" w:eastAsia="Arial" w:cs="Arial"/>
        </w:rPr>
        <w:t>5.3. Նպաստներ պետության համար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հարկային բազայի և սպառողների ակտիվության աճ.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որակյալ մարդկային կապիտալի և ձեռնարկատիրական նախաձեռնության համախմբում.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ժողովրդագրական և սոցիալական էֆեկտը Հայաստանի իրավասության մեջ ընտանիքների և երեխաների համախմբման տեսքով.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Հայաստանի՝ որպես իրավական և մարդասիրական պետության միջազգային իմիջի բարձրացում.</w:t>
      </w:r>
      <w:r>
        <w:rPr>
          <w:rFonts w:ascii="Arial" w:hAnsi="Arial" w:eastAsia="Arial" w:cs="Arial"/>
        </w:rPr>
        <w:t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քաոսային և անհատական ​​որոշումները մեկ թափանցիկ ռեժիմով փոխարինելու կարողություն:</w:t>
      </w:r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6. Ինչ պետք է ձեռնարկվի ինչ հերթականությամբ</w:t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1. Քաղաքականության որոշում՝ աջակցելու ժամանակավոր քաղաքացիության մոդելին որպես հիմնական ուղի և հատուկ քաղաքացիության մոդելին որպես ինքնուրույն, պահեստային կամ զուգահեռ ուղի: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2. Արտահանձնման բացարձակ արգելքի և ժամանակավոր քաղաքացիության՝ որպես պետության հետ իրավական կապի հատուկ ձևի անվտանգի ներդրման համար սահմանադրական փաթեթ է պահանջվում։</w:t>
      </w:r>
      <w:r>
        <w:rPr>
          <w:rFonts w:ascii="Arial" w:hAnsi="Arial" w:eastAsia="Arial" w:cs="Arial"/>
        </w:rPr>
        <w:t/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3. Ժամանակավոր քաղաքացիության մասին օրենսդրական փաթեթ. եթե պետությունն ընտրի հավակնոտ մոդել.</w:t>
      </w:r>
      <w:r>
        <w:rPr>
          <w:rFonts w:ascii="Arial" w:hAnsi="Arial" w:eastAsia="Arial" w:cs="Arial"/>
        </w:rPr>
        <w:t/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4. Հատուկ քաղաքացիության օրենսդրական փաթեթ՝ եթե պետությունն ընտրի անկախ կամ զուգահեռ մոդել։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5. Հայաստանի Հանրապետության կառավարության կանոնադրություն. ներկայացման կարգը, փաստաթղթերի ձևերը, չեկերի ցանկը, վճարների չափը, միջգերատեսչական փոխգործակցության կանոնակարգը, կարգավիճակը հաստատող փաստաթուղթ, հնարավոր ճամփորդական փաստաթուղթ կամ Հայաստան վերադարձի այլ փաստաթուղթ:</w:t>
      </w:r>
      <w:r>
        <w:rPr>
          <w:rFonts w:ascii="Arial" w:hAnsi="Arial" w:eastAsia="Arial" w:cs="Arial"/>
        </w:rPr>
        <w:t/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6. ՀԿ-ի գործարկում՝ որպես ծրագրի աջակցության ինստիտուցիոնալ ներկայացուցիչ և փորձագիտական ​​կենտրոն:</w:t>
      </w:r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7. Ընդհանուր իրավական հերքումներ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«Վերաբնակիչ» տերմինը չպետք է օգտագործվի կարգավորող տեքստում՝ որպես իրավական կատեգորիա: Օրենքները պետք է օգտագործեն չեզոք բանաձևեր՝ «օտարերկրյա քաղաքացի» կամ «քաղաքացիություն չունեցող անձ», որը օրինականորեն բնակվում է Հայաստանի Հանրապետությունում առնվազն վեց ամիս։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Հանձնման բացարձակ արգելքը պահանջում է սահմանադրական որոշում։ Գործող Սահմանադրությունը թույլ է տալիս պայմանագրային բացառություն քաղաքացիների արտահանձնման համար. այս կետը պետք է հանվի, եթե քաղաքականության նպատակը բացարձակ չտրամադրումն է: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Հայաստանը կարող է երաշխավորել իր կարգավիճակը և սեփական փաստաթուղթը, սակայն չի կարող երաշխավորել երրորդ պետությունների կողմից նման փաստաթղթի ճանաչումը դիմողի ազգային անձնագրի փոխարեն։ Սա պետք է հստակ արտացոլվի բացատրական նյութերում՝ կեղծ ակնկալիքներ չստեղծելու համար։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Պաշտոնական մուտքի համար կպահանջվի հայերեն տարբերակը։ Ռուսալեզու այս փաթեթներն աշխատում են, բայց արդեն կառուցված են այնպես, որ դրանք արագորեն հարմարեցվեն պետական ​​շրջանառության համար:</w:t>
      </w:r>
      <w:r>
        <w:rPr>
          <w:rFonts w:ascii="Arial" w:hAnsi="Arial" w:eastAsia="Arial" w:cs="Arial"/>
          <w:b/>
        </w:rPr>
        <w:t/>
      </w:r>
      <w:r>
        <w:rPr>
          <w:rFonts w:ascii="Arial" w:hAnsi="Arial" w:eastAsia="Arial" w:cs="Arial"/>
        </w:rPr>
        <w:t xml:space="preserve"/>
      </w:r>
    </w:p>
    <w:p>
      <w:pPr>
        <w:pStyle w:val="Heading1Custom"/>
      </w:pPr>
      <w:r>
        <w:rPr>
          <w:rFonts w:ascii="Arial" w:hAnsi="Arial" w:eastAsia="Arial" w:cs="Arial"/>
        </w:rPr>
        <w:t>8. Հայտերի ընդհանուր ցանկ, որոնք պետք է ներկայացվեն փաթեթների հետ միասին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402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Դիմում</w:t>
            </w:r>
          </w:p>
        </w:tc>
        <w:tc>
          <w:tcPr>
            <w:tcW w:type="dxa" w:w="5839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Ինչու է դա անհրաժեշտ: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Ուղեկցող նամակ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Ամրագրում է հասցեատիրոջը, բողոքարկման առարկան և կից նյութերի ցանկը.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Բացատրական նշում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Բացատրում է ծրագրի նպատակները, դրդապատճառները, օգուտները, ռիսկերը և իրավական տրամաբանությունը: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Համեմատության աղյուսակ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Ցույց է տալիս, թե ինչ նորմեր են առաջարկվում փոփոխել և ինչ ազդեցություն կունենա դա։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Համառոտ գործադիր ամփոփում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Թույլ է տալիս ղեկավարությանը արագ հասկանալ նախաձեռնության բնույթը՝ առանց ամբողջ փաթեթը կարդալու: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Իրականացման ճանապարհային քարտեզ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Ցույց է տալիս, թե ինչ օրենքներ, կանոնակարգեր և ընթացակարգեր պետք է ընդունվեն հաստատումից հետո: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Պաշտոնական իրավական աջակցության թերթիկ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Ամրագրում է նորմատիվ աղբյուրները և նվազեցնում առաջարկի փաստացի հիմքի վերաբերյալ վեճի ռիսկը: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Փաթեթի հիմնական պաշտոնական հիմնասյուները՝ Հայաստանի Հանրապետության Սահմանադրություն (ՀՕՀՕ, 40, 47, 48, 55, 202 հոդվածներ); «Հայաստանի Հանրապետության քաղաքացիության մասին» Հայաստանի Հանրապետության օրենք (ՀՕՀ, հոդված 5, 9, 13, 26); Հայաստանի արտաքին գործերի նախարարության պաշտոնական էջը քաղաքացիության մասին. Հայաստանի արտաքին գործերի նախարարության պաշտոնական էջը հատուկ կացության կարգավիճակի մասին. Հայաստանի Հանրապետության կառավարության պաշտոնական էջը կառավարության կառուցվածքի մասին. ՀՀ Նախագահի պաշտոնական էջ</w:t>
      </w:r>
      <w:r>
        <w:rPr>
          <w:rFonts w:ascii="Arial" w:hAnsi="Arial" w:eastAsia="Arial" w:cs="Arial"/>
        </w:rPr>
        <w:t/>
      </w:r>
    </w:p>
    <w:p>
      <w:pPr>
        <w:pStyle w:val="Heading1Custom"/>
      </w:pPr>
      <w:r>
        <w:rPr>
          <w:rFonts w:ascii="Arial" w:hAnsi="Arial" w:eastAsia="Arial" w:cs="Arial"/>
        </w:rPr>
        <w:t>9. Կոնկրետ ի՞նչ է ստանում Հայաստանը բարեփոխումների ողջ փաթեթից։</w:t>
      </w:r>
    </w:p>
    <w:p>
      <w:pPr/>
      <w:r>
        <w:rPr>
          <w:rFonts w:ascii="Arial" w:hAnsi="Arial" w:eastAsia="Arial" w:cs="Arial"/>
        </w:rPr>
        <w:t>• Հայաստանում որակյալ մասնագետների, ձեռնարկատերերի, թվային տնտեսության աշխատողների, ուսուցիչների, ուսանողների և նրանց ընտանիքների անդամների ապահովումը.</w:t>
      </w:r>
    </w:p>
    <w:p>
      <w:pPr/>
      <w:r>
        <w:rPr>
          <w:rFonts w:ascii="Arial" w:hAnsi="Arial" w:eastAsia="Arial" w:cs="Arial"/>
        </w:rPr>
        <w:t>• ֆորմալ զբաղվածության, ձեռնարկատիրության, սպառման, բնակարանների վարձակալության, բանկային գործունեության և ընտանիքի երկարաժամկետ ներկայության հաշվին հարկային բազայի աճ.</w:t>
      </w:r>
    </w:p>
    <w:p>
      <w:pPr/>
      <w:r>
        <w:rPr>
          <w:rFonts w:ascii="Arial" w:hAnsi="Arial" w:eastAsia="Arial" w:cs="Arial"/>
        </w:rPr>
        <w:t>• վարչական բեռի նվազեցում` պայմանավորված անհատական ​​տարբեր որոշումներից հստակ չափանիշներով և ընթացակարգերով միասնական իրավական ռեժիմի անցնելու պատճառով.</w:t>
      </w:r>
    </w:p>
    <w:p>
      <w:pPr/>
      <w:r>
        <w:rPr>
          <w:rFonts w:ascii="Arial" w:hAnsi="Arial" w:eastAsia="Arial" w:cs="Arial"/>
        </w:rPr>
        <w:t>• Ժողովրդագրական կայունության ամրապնդում Հայաստանի իրավասության տարածքում ընտանիքների, երեխաների, դպրոցականների և երկարաժամկետ տնային տնտեսությունների ապահովման միջոցով.</w:t>
      </w:r>
    </w:p>
    <w:p>
      <w:pPr/>
      <w:r>
        <w:rPr>
          <w:rFonts w:ascii="Arial" w:hAnsi="Arial" w:eastAsia="Arial" w:cs="Arial"/>
        </w:rPr>
        <w:t>• ներդրումների և բիզնեսի կանխատեսելիության աճ. որքան կայուն է անձի կարգավիճակը, այնքան մեծ է Հայաստանում բիզնեսի գրանցման, երկարաժամկետ պայմանագրերի և եկամուտների վերաներդրման հավանականությունը.</w:t>
      </w:r>
    </w:p>
    <w:p>
      <w:pPr/>
      <w:r>
        <w:rPr>
          <w:rFonts w:ascii="Arial" w:hAnsi="Arial" w:eastAsia="Arial" w:cs="Arial"/>
        </w:rPr>
        <w:t>• Հայաստանի՝ որպես Հարավային Կովկասում իրավական, մարդասիրական և մրցունակ պետության միջազգային հեղինակության ամրապնդում.</w:t>
      </w:r>
    </w:p>
    <w:p>
      <w:pPr/>
      <w:r>
        <w:rPr>
          <w:rFonts w:ascii="Arial" w:hAnsi="Arial" w:eastAsia="Arial" w:cs="Arial"/>
        </w:rPr>
        <w:t>• ստեղծել կառավարելի և հավատարիմ ճանապարհ՝ դե ֆակտո ինտեգրումից մինչև լիարժեք քաղաքացիություն, այլ ոչ թե մարդկանց թողնել գորշ գոտում:</w:t>
      </w:r>
    </w:p>
    <w:p>
      <w:pPr>
        <w:pStyle w:val="Heading1Custom"/>
      </w:pPr>
      <w:r>
        <w:rPr>
          <w:rFonts w:ascii="Arial" w:hAnsi="Arial" w:eastAsia="Arial" w:cs="Arial"/>
        </w:rPr>
        <w:t>10. Ժամանակավոր քաղաքացիություն և քաղաքացիություն. մեկ կարգավիճակի ընտրություն կամ զուգահեռ մեկնարկ</w:t>
      </w:r>
    </w:p>
    <w:p>
      <w:pPr/>
      <w:r>
        <w:rPr>
          <w:rFonts w:ascii="Arial" w:hAnsi="Arial" w:eastAsia="Arial" w:cs="Arial"/>
        </w:rPr>
        <w:t>1. մեկ կարգավիճակ ընտրելու մոդել. պետությունն իրավունք ունի ժամանակավոր քաղաքացիությունը և քաղաքացիությունը դիտարկել որպես երկու անկախ նախագծեր և ընդունել դրանցից միայն մեկը.</w:t>
      </w:r>
    </w:p>
    <w:p>
      <w:pPr/>
      <w:r>
        <w:rPr>
          <w:rFonts w:ascii="Arial" w:hAnsi="Arial" w:eastAsia="Arial" w:cs="Arial"/>
        </w:rPr>
        <w:t>2. Զուգահեռ գործարկման մոդել. պետությունն իրավունք ունի միաժամանակ ընդունել երկու կարգավիճակները և դիմողին կամ լիազոր մարմնին տրամադրել լավագույն երթուղու ընտրությունը՝ կախված ինտեգրման աստիճանից, ընտանեկան իրավիճակից և հանրային շահերից.</w:t>
      </w:r>
    </w:p>
    <w:p>
      <w:pPr/>
      <w:r>
        <w:rPr>
          <w:rFonts w:ascii="Arial" w:hAnsi="Arial" w:eastAsia="Arial" w:cs="Arial"/>
        </w:rPr>
        <w:t>3. փուլային ներդրման մոդել. քաղաքացիությունը սկզբում գործարկվում է որպես ավելի արագ օրենսդրական ուղի, իսկ ժամանակավոր քաղաքացիությունը՝ սահմանադրական ուղին անցնելուց հետո.</w:t>
      </w:r>
    </w:p>
    <w:p>
      <w:pPr/>
      <w:r>
        <w:rPr>
          <w:rFonts w:ascii="Arial" w:hAnsi="Arial" w:eastAsia="Arial" w:cs="Arial"/>
        </w:rPr>
        <w:t>4. Նպատակահարմար է կարգավորող տեքստերում հստակորեն նշել, որ քաղաքացիության առկայությունը չի խոչընդոտում ժամանակավոր քաղաքացիության կամ լրիվ քաղաքացիության հետագա դիմումներին, եթե անձը համապատասխանում է օրենքով սահմանված չափանիշներին:</w:t>
      </w:r>
    </w:p>
    <w:p>
      <w:pPr>
        <w:pStyle w:val="Heading1Custom"/>
      </w:pPr>
      <w:r>
        <w:rPr>
          <w:rFonts w:ascii="Arial" w:hAnsi="Arial" w:eastAsia="Arial" w:cs="Arial"/>
        </w:rPr>
        <w:t>11. Բարեփոխումների հանրային աջակցության և Հայաստանի Հանրապետության վարչապետի անձնական աջակցության բաժին</w:t>
      </w:r>
    </w:p>
    <w:p>
      <w:pPr/>
      <w:r>
        <w:rPr>
          <w:rFonts w:ascii="Arial" w:hAnsi="Arial" w:eastAsia="Arial" w:cs="Arial"/>
        </w:rPr>
        <w:t>Վերաբնակեցվածների բարեփոխման կողմնակից համայնքը անձնական քաղաքական աջակցություն է հայտնում ՀՀ վարչապետ Նիկոլ Փաշինյանին՝ որպես առաջնորդի, որի օրոք Հայաստանը բաց է մնացել բարեփոխումների, ինստիտուցիոնալ երկխոսության և նոր բնակիչների իրավական ինտեգրման համար։</w:t>
      </w:r>
    </w:p>
    <w:p>
      <w:pPr/>
      <w:r>
        <w:rPr>
          <w:rFonts w:ascii="Arial" w:hAnsi="Arial" w:eastAsia="Arial" w:cs="Arial"/>
        </w:rPr>
        <w:t>Համայնքն իր ցանկությունն է հայտնում հաջորդ ընտրական փուլերում Նիկոլ Փաշինյանի և նրա քաղաքական թիմի հետ միասին շարժվել և իրենց երկարաժամկետ ապագան Հայաստանում կապել այս կուրսի հետ։ Մինչև օրենքով նախատեսված ընտրական իրավունքների ձեռքբերումը նման աջակցությունն արտահայտվում է հասարակական, փորձագիտական, հասարակական և կազմակերպչական հարթությունում. համապատասխան կարգավիճակ և իրավունքներ ստանալուց հետո՝ նաև քաղաքական գործընթացում՝ Հայաստանի Հանրապետության Սահմանադրությամբ և օրենքներով թույլատրված չափով։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Հանրային օգտագործման պատրաստի բանաձև. «Վերաբնակ համայնքը սատարում է վարչապետ Նիկոլ Փաշինյանին և նրա բարեփոխումների կուրսին, իր երկարաժամկետ ապագան կապում է Հայաստանի հետ և, ստանալով օրենքով նախատեսված իրավունքները, պատրաստ է նրա և նրա թիմի հետ շարժվել ապագա ընտրություններում»։</w:t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454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Փաթեթ 01 • Փաթեթների գրանցամատյան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pPr>
      <w:keepNext/>
      <w:spacing w:after="220" w:line="247" w:lineRule="auto" w:before="0"/>
      <w:jc w:val="center"/>
    </w:pPr>
    <w:rPr>
      <w:rFonts w:ascii="Times New Roman" w:hAnsi="Times New Roman" w:eastAsia="Times New Roman" w:cs="Times New Roman"/>
      <w:b/>
      <w:color w:val="7A1F2A"/>
      <w:sz w:val="50"/>
    </w:rPr>
  </w:style>
  <w:style w:type="paragraph" w:customStyle="1" w:styleId="SubtitleCustom">
    <w:name w:val="SubtitleCustom"/>
    <w:basedOn w:val="Normal"/>
    <w:pPr>
      <w:keepNext/>
      <w:spacing w:after="240" w:before="0" w:line="259" w:lineRule="auto"/>
      <w:jc w:val="center"/>
    </w:pPr>
    <w:rPr>
      <w:rFonts w:ascii="Times New Roman" w:hAnsi="Times New Roman" w:eastAsia="Times New Roman" w:cs="Times New Roman"/>
      <w:i/>
      <w:color w:val="5A5E66"/>
      <w:sz w:val="26"/>
    </w:rPr>
  </w:style>
  <w:style w:type="paragraph" w:customStyle="1" w:styleId="Heading1Custom">
    <w:name w:val="Heading1Custom"/>
    <w:basedOn w:val="Normal"/>
    <w:pPr>
      <w:keepNext/>
      <w:spacing w:before="320" w:after="140"/>
    </w:pPr>
    <w:rPr>
      <w:rFonts w:ascii="Arial" w:hAnsi="Arial" w:eastAsia="Arial" w:cs="Arial"/>
      <w:b/>
      <w:color w:val="7A1F2A"/>
      <w:sz w:val="38"/>
    </w:rPr>
  </w:style>
  <w:style w:type="paragraph" w:customStyle="1" w:styleId="Heading2Custom">
    <w:name w:val="Heading2Custom"/>
    <w:basedOn w:val="Normal"/>
    <w:pPr>
      <w:keepNext/>
      <w:spacing w:before="260" w:after="120"/>
    </w:pPr>
    <w:rPr>
      <w:rFonts w:ascii="Arial" w:hAnsi="Arial" w:eastAsia="Arial" w:cs="Arial"/>
      <w:b/>
      <w:color w:val="254F73"/>
      <w:sz w:val="28"/>
    </w:rPr>
  </w:style>
  <w:style w:type="paragraph" w:customStyle="1" w:styleId="SmallGray">
    <w:name w:val="SmallGray"/>
    <w:basedOn w:val="Normal"/>
    <w:pPr>
      <w:keepNext/>
      <w:spacing w:after="140" w:before="0" w:line="240" w:lineRule="auto"/>
      <w:jc w:val="center"/>
    </w:pPr>
    <w:rPr>
      <w:rFonts w:ascii="Arial" w:hAnsi="Arial" w:eastAsia="Arial" w:cs="Arial"/>
      <w:color w:val="6C7178"/>
      <w:sz w:val="21"/>
    </w:rPr>
  </w:style>
  <w:style w:type="paragraph" w:customStyle="1" w:styleId="QuoteBox">
    <w:name w:val="QuoteBox"/>
    <w:basedOn w:val="Normal"/>
    <w:pPr>
      <w:spacing w:after="180" w:before="160" w:line="276" w:lineRule="auto"/>
      <w:ind w:left="216" w:right="72"/>
    </w:pPr>
    <w:rPr>
      <w:rFonts w:ascii="Arial" w:hAnsi="Arial" w:eastAsia="Arial" w:cs="Arial"/>
      <w:color w:val="202834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