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ns1="http://schemas.openxmlformats.org/markup-compatibility/2006" xmlns:ns2="http://schemas.openxmlformats.org/officeDocument/2006/relationships" xmlns:w="http://schemas.openxmlformats.org/wordprocessingml/2006/main" ns1:Ignorable="w14 wp14">
  <w:body>
    <w:tbl>
      <w:tblPr>
        <w:tblW w:type="auto" w:w="0"/>
        <w:tblLook w:firstColumn="1" w:firstRow="1" w:lastColumn="0" w:lastRow="0" w:noHBand="0" w:noVBand="1" w:val="04A0"/>
        <w:jc w:val="center"/>
        <w:tblBorders>
          <w:top w:val="nil" w:sz="0" w:space="0" w:color="C9CED6"/>
          <w:left w:val="nil" w:sz="0" w:space="0" w:color="C9CED6"/>
          <w:bottom w:val="nil" w:sz="0" w:space="0" w:color="C9CED6"/>
          <w:right w:val="nil" w:sz="0" w:space="0" w:color="C9CED6"/>
          <w:insideH w:val="nil" w:sz="0" w:space="0" w:color="C9CED6"/>
          <w:insideV w:val="nil" w:sz="0" w:space="0" w:color="C9CED6"/>
        </w:tblBorders>
        <w:tblCellMar>
          <w:top w:w="0" w:type="dxa"/>
          <w:start w:w="0" w:type="dxa"/>
          <w:bottom w:w="0" w:type="dxa"/>
          <w:end w:w="0" w:type="dxa"/>
        </w:tblCellMar>
      </w:tblPr>
      <w:tblGrid>
        <w:gridCol w:w="3289"/>
        <w:gridCol w:w="3289"/>
        <w:gridCol w:w="3289"/>
      </w:tblGrid>
      <w:tr>
        <w:tc>
          <w:tcPr>
            <w:tcW w:type="dxa" w:w="3175"/>
            <w:shd w:fill="D9282B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  <w:tc>
          <w:tcPr>
            <w:tcW w:type="dxa" w:w="3175"/>
            <w:shd w:fill="1D56A6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  <w:tc>
          <w:tcPr>
            <w:tcW w:type="dxa" w:w="3175"/>
            <w:shd w:fill="F0A533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</w:rPr>
              <w:t xml:space="preserve"> 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110" w:type="dxa"/>
          <w:start w:w="110" w:type="dxa"/>
          <w:bottom w:w="110" w:type="dxa"/>
          <w:end w:w="110" w:type="dxa"/>
        </w:tblCellMar>
      </w:tblPr>
      <w:tblGrid>
        <w:gridCol w:w="9866"/>
      </w:tblGrid>
      <w:tr>
        <w:tc>
          <w:tcPr>
            <w:tcW w:type="dxa" w:w="9866"/>
            <w:shd w:fill="0F1720"/>
            <w:vAlign w:val="center"/>
          </w:tcPr>
          <w:p>
            <w:pPr>
              <w:spacing w:after="20" w:before="0" w:line="269" w:lineRule="auto"/>
              <w:jc w:val="left"/>
            </w:pPr>
            <w:r>
              <w:rPr>
                <w:rFonts w:ascii="Arial" w:hAnsi="Arial" w:eastAsia="Arial" w:cs="Arial"/>
                <w:b/>
                <w:i w:val="0"/>
                <w:caps/>
                <w:color w:val="DCE6F2"/>
                <w:sz w:val="23"/>
              </w:rPr>
              <w:t>ՓԱԹԵԹ 02</w:t>
            </w:r>
          </w:p>
          <w:p>
            <w:pPr>
              <w:spacing w:after="8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  <w:sz w:val="31"/>
              </w:rPr>
              <w:t>Սահմանադրական բարեփոխումների փաթեթ</w:t>
            </w:r>
          </w:p>
          <w:p>
            <w:pPr>
              <w:spacing w:after="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DCE6F2"/>
                <w:sz w:val="23"/>
              </w:rPr>
              <w:t>Ժամանակավոր քաղաքացիության, քաղաքացիության և իրավական պաշտպանության երաշխիքների սահմանադրական ուղին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6" w:space="0" w:color="BCC4CE"/>
          <w:left w:val="single" w:sz="6" w:space="0" w:color="BCC4CE"/>
          <w:bottom w:val="single" w:sz="6" w:space="0" w:color="BCC4CE"/>
          <w:right w:val="single" w:sz="6" w:space="0" w:color="BCC4CE"/>
          <w:insideH w:val="single" w:sz="6" w:space="0" w:color="BCC4CE"/>
          <w:insideV w:val="single" w:sz="6" w:space="0" w:color="BCC4CE"/>
        </w:tblBorders>
      </w:tblPr>
      <w:tblGrid>
        <w:gridCol w:w="2268"/>
        <w:gridCol w:w="7370"/>
      </w:tblGrid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Ձևաչափ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Սահմանադրական փաթեթ</w:t>
            </w:r>
          </w:p>
        </w:tc>
      </w:tr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Թիրախ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Ստատուսներին տալ կայուն սահմանադրական հիմք</w:t>
            </w:r>
          </w:p>
        </w:tc>
      </w:tr>
      <w:tr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  <w:shd w:fill="EEF2F6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2"/>
              </w:rPr>
              <w:t>Արդյունք</w:t>
            </w:r>
          </w:p>
        </w:tc>
        <w:tc>
          <w:tcPr>
            <w:tcW w:type="dxa" w:w="4933"/>
            <w:vAlign w:val="center"/>
            <w:tcBorders>
              <w:left w:sz="6" w:val="single" w:color="D7DEE8"/>
              <w:top w:sz="6" w:val="single" w:color="D7DEE8"/>
              <w:right w:sz="6" w:val="single" w:color="D7DEE8"/>
              <w:bottom w:sz="6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2"/>
              </w:rPr>
              <w:t>Ուժեղացնել օրենքի լիազորությունները, քաղաքական իրավունքների սահմանները և անձանց այլ պետություններ տեղափոխելու արգելքը.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D7DEE7"/>
          <w:left w:val="single" w:sz="5" w:space="0" w:color="D7DEE7"/>
          <w:bottom w:val="single" w:sz="5" w:space="0" w:color="D7DEE7"/>
          <w:right w:val="single" w:sz="5" w:space="0" w:color="D7DEE7"/>
          <w:insideH w:val="single" w:sz="5" w:space="0" w:color="D7DEE7"/>
          <w:insideV w:val="single" w:sz="5" w:space="0" w:color="D7DEE7"/>
        </w:tblBorders>
        <w:tblCellMar>
          <w:top w:w="95" w:type="dxa"/>
          <w:start w:w="110" w:type="dxa"/>
          <w:bottom w:w="95" w:type="dxa"/>
          <w:end w:w="110" w:type="dxa"/>
        </w:tblCellMar>
      </w:tblPr>
      <w:tblGrid>
        <w:gridCol w:w="9866"/>
      </w:tblGrid>
      <w:tr>
        <w:tc>
          <w:tcPr>
            <w:tcW w:type="dxa" w:w="9866"/>
            <w:shd w:fill="F4F7FA" w:color="auto" w:val="clear"/>
            <w:vAlign w:val="center"/>
          </w:tcPr>
          <w:p>
            <w:pPr>
              <w:spacing w:after="8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163F6D"/>
                <w:sz w:val="24"/>
              </w:rPr>
              <w:t>Փաթեթի բովանդակությունը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Փոփոխություններ կարգավիճակների սահմանադրական ճարտարապետության մեջ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Տարբերությունը քաղաքական իրավունքների և իրավական ինտեգրման միջև</w:t>
            </w:r>
          </w:p>
          <w:p>
            <w:pPr>
              <w:pStyle w:val="ListBullet"/>
              <w:spacing w:after="5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222B36"/>
                <w:sz w:val="21"/>
              </w:rPr>
              <w:t>Պաշտպանության և չհանձնման սահմանադրական երաշխիք</w:t>
            </w:r>
          </w:p>
        </w:tc>
      </w:tr>
    </w:tbl>
    <w:p>
      <w:r>
        <w:rPr>
          <w:rFonts w:ascii="Arial" w:hAnsi="Arial" w:eastAsia="Arial" w:cs="Arial"/>
        </w:rPr>
        <w:br w:type="page"/>
      </w:r>
      <w:r>
        <w:rPr>
          <w:rFonts w:ascii="Arial" w:hAnsi="Arial" w:eastAsia="Arial" w:cs="Arial"/>
        </w:rPr>
        <w:t>
</w:t>
      </w:r>
    </w:p>
    <w:p>
      <w:pPr>
        <w:pStyle w:val="Heading1"/>
        <w:shd w:fill="0F1720"/>
      </w:pPr>
      <w:r>
        <w:rPr>
          <w:rFonts w:ascii="Arial" w:hAnsi="Arial" w:eastAsia="Arial" w:cs="Arial"/>
          <w:b/>
          <w:i w:val="0"/>
          <w:color w:val="FFFFFF"/>
        </w:rPr>
        <w:t>Ծրագրի սահմանադրական շրջանակը</w:t>
      </w:r>
    </w:p>
    <w:p>
      <w:pPr>
        <w:shd w:fill="0F1720"/>
      </w:pPr>
      <w:r>
        <w:rPr>
          <w:rFonts w:ascii="Arial" w:hAnsi="Arial" w:eastAsia="Arial" w:cs="Arial"/>
          <w:b w:val="0"/>
          <w:i w:val="0"/>
          <w:color w:val="E6EEF8"/>
        </w:rPr>
        <w:t>Սահմանադրական փաթեթը ամրագրում է Հայաստանի Հանրապետության հետ կայուն իրավական կապի երկու նոր ձևերի առկայության բուն հնարավորությունը և ամրագրում դրանց գործողության սահմանները պետության սահմանադրական համակարգում։</w:t>
      </w:r>
    </w:p>
    <w:p>
      <w:pPr>
        <w:shd w:fill="0F1720"/>
      </w:pPr>
      <w:r>
        <w:rPr>
          <w:rFonts w:ascii="Arial" w:hAnsi="Arial" w:eastAsia="Arial" w:cs="Arial"/>
          <w:b w:val="0"/>
          <w:i w:val="0"/>
          <w:color w:val="E6EEF8"/>
        </w:rPr>
        <w:t>Փաթեթի նպատակն է ժամանակավոր քաղաքացիությունը և քաղաքացիությունը դարձնել իրավաբանորեն պարզ, կառավարելի և Հայաստանի սահմանադրական կարգի հետ համատեղելի։</w:t>
      </w:r>
    </w:p>
    <w:p>
      <w:pPr>
        <w:pStyle w:val="Heading1"/>
        <w:shd w:fill="0F1720"/>
      </w:pPr>
      <w:r>
        <w:rPr>
          <w:rFonts w:ascii="Arial" w:hAnsi="Arial" w:eastAsia="Arial" w:cs="Arial"/>
          <w:b/>
          <w:i w:val="0"/>
          <w:color w:val="FFFFFF"/>
        </w:rPr>
        <w:t>Ինչ է ամրագրված սահմանադրական մակարդակով</w:t>
      </w:r>
    </w:p>
    <w:tbl>
      <w:tblPr>
        <w:tblW w:type="auto" w:w="0"/>
        <w:tblLook w:firstColumn="1" w:firstRow="1" w:lastColumn="0" w:lastRow="0" w:noHBand="0" w:noVBand="1" w:val="04A0"/>
        <w:tblCellMar>
          <w:top w:w="85" w:type="dxa"/>
          <w:start w:w="100" w:type="dxa"/>
          <w:bottom w:w="85" w:type="dxa"/>
          <w:end w:w="100" w:type="dxa"/>
        </w:tblCellMar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</w:tblPr>
      <w:tblGrid>
        <w:gridCol w:w="4933"/>
        <w:gridCol w:w="4933"/>
      </w:tblGrid>
      <w:tr>
        <w:trPr>
          <w:tblHeader w:val="true"/>
        </w:trPr>
        <w:tc>
          <w:tcPr>
            <w:tcW w:type="dxa" w:w="2268"/>
            <w:vAlign w:val="center"/>
            <w:shd w:fill="F5F7FA" w:color="auto" w:val="clea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Տարր</w:t>
            </w:r>
          </w:p>
        </w:tc>
        <w:tc>
          <w:tcPr>
            <w:tcW w:type="dxa" w:w="7370"/>
            <w:vAlign w:val="center"/>
            <w:shd w:fill="1A2636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</w:rPr>
              <w:t>Սահմանադրական որոշում</w:t>
            </w:r>
          </w:p>
        </w:tc>
      </w:tr>
      <w:tr>
        <w:tc>
          <w:tcPr>
            <w:tcW w:type="dxa" w:w="2268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Իրավական հիմք</w:t>
            </w:r>
          </w:p>
        </w:tc>
        <w:tc>
          <w:tcPr>
            <w:tcW w:type="dxa" w:w="737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111827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Օրենքը կարող է սահմանել ժամանակավոր քաղաքացիություն և քաղաքացիություն՝ որպես պետության հետ կայուն իրավական կապի հատուկ ձևեր։</w:t>
            </w:r>
          </w:p>
        </w:tc>
      </w:tr>
      <w:tr>
        <w:tc>
          <w:tcPr>
            <w:tcW w:type="dxa" w:w="2268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Քաղաքական իրավունքներ</w:t>
            </w:r>
          </w:p>
        </w:tc>
        <w:tc>
          <w:tcPr>
            <w:tcW w:type="dxa" w:w="737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111827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Մինչև լիարժեք քաղաքացիություն ձեռք բերելը, այս կարգավիճակ ունեցող անձինք չեն մասնակցում ընտրություններին և հանրաքվեներին։</w:t>
            </w:r>
          </w:p>
        </w:tc>
      </w:tr>
      <w:tr>
        <w:tc>
          <w:tcPr>
            <w:tcW w:type="dxa" w:w="2268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Պաշտպանություն</w:t>
            </w:r>
          </w:p>
        </w:tc>
        <w:tc>
          <w:tcPr>
            <w:tcW w:type="dxa" w:w="737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111827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Քաղաքացին, ժամանակավոր քաղաքացին և քաղաքացիություն ունեցող անձը ենթակա չեն հանձնման կամ փոխանցման այլ պետություն։</w:t>
            </w:r>
          </w:p>
        </w:tc>
      </w:tr>
      <w:tr>
        <w:tc>
          <w:tcPr>
            <w:tcW w:type="dxa" w:w="2268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F5F7FA" w:color="auto" w:val="clea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27303A"/>
                <w:sz w:val="21"/>
              </w:rPr>
              <w:t>Անցումային դրույթներ</w:t>
            </w:r>
          </w:p>
        </w:tc>
        <w:tc>
          <w:tcPr>
            <w:tcW w:type="dxa" w:w="7370"/>
            <w:vAlign w:val="center"/>
            <w:tcBorders>
              <w:left w:sz="8" w:val="single" w:color="D7DEE8"/>
              <w:top w:sz="8" w:val="single" w:color="D7DEE8"/>
              <w:right w:sz="8" w:val="single" w:color="D7DEE8"/>
              <w:bottom w:sz="8" w:val="single" w:color="D7DEE8"/>
            </w:tcBorders>
            <w:shd w:fill="111827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Ազգային ժողովն ու կառավարությունը օրենքներն ու ընթացակարգերը համապատասխանեցնում են սահմանադրական նոր մոդելին.</w:t>
            </w:r>
          </w:p>
        </w:tc>
      </w:tr>
    </w:tbl>
    <w:p>
      <w:r>
        <w:rPr>
          <w:rFonts w:ascii="Arial" w:hAnsi="Arial" w:eastAsia="Arial" w:cs="Arial"/>
        </w:rPr>
        <w:t/>
      </w:r>
    </w:p>
    <w:p>
      <w:pPr>
        <w:pStyle w:val="Heading1"/>
        <w:shd w:fill="0F1720"/>
      </w:pPr>
      <w:r>
        <w:rPr>
          <w:rFonts w:ascii="Arial" w:hAnsi="Arial" w:eastAsia="Arial" w:cs="Arial"/>
          <w:b/>
          <w:i w:val="0"/>
          <w:color w:val="FFFFFF"/>
        </w:rPr>
        <w:t>Սահմանադրական օրենքի առաջարկվող տարբերակը</w:t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0F1720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</w:rPr>
              <w:t>Հոդված 1. Լրացում 47-րդ հոդվածում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Օրենքը կարող է սահմանել Հայաստանի Հանրապետության ժամանակավոր քաղաքացիությունը և Հայաստանի Հանրապետության քաղաքացիությունը՝ որպես պետության հետ կայուն իրավական կապի հատուկ ձևեր, սահմանել դրանց ձեռքբերման հիմքերը, գործողության ժամկետը, իրավունքների և պարտականությունների շրջանակը, դադարեցման կարգը և այդ անձանց պաշտպանության երաշխիքները։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0F1720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</w:rPr>
              <w:t>Հոդված 2. Լրացում 48-րդ հոդվածում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Հայաստանի Հանրապետության ժամանակավոր քաղաքացիություն կամ Հայաստանի Հանրապետության քաղաքացիական պատկանելություն ունեցող անձինք չեն մասնակցում ընտրություններին և հանրաքվեներին մինչև լիարժեք քաղաքացիություն ձեռք բերելը, եթե այլ բան ուղղակիորեն սահմանված չէ Սահմանադրությամբ: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0F1720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</w:rPr>
              <w:t>Հոդված 3. 55-րդ հոդվածի փոփոխություն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Հայաստանի Հանրապետության քաղաքացին, Հայաստանի Հանրապետության ժամանակավոր քաղաքացիություն ունեցողը և Հայաստանի Հանրապետության քաղաքացիություն ունեցող անձը ենթակա չեն հանձնման կամ փոխանցման այլ պետություն։</w:t>
            </w:r>
          </w:p>
        </w:tc>
      </w:tr>
    </w:tbl>
    <w:p>
      <w:r>
        <w:rPr>
          <w:rFonts w:ascii="Arial" w:hAnsi="Arial" w:eastAsia="Arial" w:cs="Arial"/>
        </w:rPr>
        <w:t/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5" w:space="0" w:color="C9CED6"/>
          <w:left w:val="single" w:sz="5" w:space="0" w:color="C9CED6"/>
          <w:bottom w:val="single" w:sz="5" w:space="0" w:color="C9CED6"/>
          <w:right w:val="single" w:sz="5" w:space="0" w:color="C9CED6"/>
          <w:insideH w:val="single" w:sz="5" w:space="0" w:color="C9CED6"/>
          <w:insideV w:val="single" w:sz="5" w:space="0" w:color="C9CED6"/>
        </w:tblBorders>
        <w:tblCellMar>
          <w:top w:w="85" w:type="dxa"/>
          <w:start w:w="100" w:type="dxa"/>
          <w:bottom w:w="85" w:type="dxa"/>
          <w:end w:w="100" w:type="dxa"/>
        </w:tblCellMar>
      </w:tblPr>
      <w:tblGrid>
        <w:gridCol w:w="9866"/>
      </w:tblGrid>
      <w:tr>
        <w:tc>
          <w:tcPr>
            <w:tcW w:type="dxa" w:w="9866"/>
            <w:shd w:fill="0F1720"/>
            <w:vAlign w:val="center"/>
          </w:tcPr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/>
                <w:i w:val="0"/>
                <w:color w:val="FFFFFF"/>
              </w:rPr>
              <w:t>Հոդված 4. Եզրափակիչ դրույթներ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Ազգային ժողովը և Հայաստանի Հանրապետության կառավարությունը սահմանված ժամկետում օրենքները և ենթաօրենսդրական ակտերը համապատասխանեցնում են սույն սահմանադրական օրենքին։</w:t>
            </w:r>
          </w:p>
          <w:p>
            <w:pPr>
              <w:spacing w:after="50" w:before="0" w:line="269" w:lineRule="auto"/>
            </w:pPr>
            <w:r>
              <w:rPr>
                <w:rFonts w:ascii="Arial" w:hAnsi="Arial" w:eastAsia="Arial" w:cs="Arial"/>
                <w:b w:val="0"/>
                <w:i w:val="0"/>
                <w:color w:val="E6EEF8"/>
              </w:rPr>
              <w:t>Ժամանակավոր քաղաքացիության և քաղաքացիության մասին օրենքները ներդրվում են՝ հաշվի առնելով սույն օրենքում ամրագրված սահմանադրական մոդելը։</w:t>
            </w:r>
          </w:p>
        </w:tc>
      </w:tr>
    </w:tbl>
    <w:p>
      <w:r>
        <w:rPr>
          <w:rFonts w:ascii="Arial" w:hAnsi="Arial" w:eastAsia="Arial" w:cs="Arial"/>
        </w:rPr>
        <w:t/>
      </w:r>
    </w:p>
    <w:p>
      <w:pPr>
        <w:pStyle w:val="Heading1"/>
        <w:shd w:fill="0F1720"/>
      </w:pPr>
      <w:r>
        <w:rPr>
          <w:rFonts w:ascii="Arial" w:hAnsi="Arial" w:eastAsia="Arial" w:cs="Arial"/>
          <w:b/>
          <w:i w:val="0"/>
          <w:color w:val="FFFFFF"/>
        </w:rPr>
        <w:t>Պետական ​​արդյունք</w:t>
      </w:r>
    </w:p>
    <w:p>
      <w:pPr>
        <w:pStyle w:val="ListBullet"/>
        <w:shd w:fill="0F1720"/>
      </w:pPr>
      <w:r>
        <w:rPr>
          <w:rFonts w:ascii="Arial" w:hAnsi="Arial" w:eastAsia="Arial" w:cs="Arial"/>
          <w:b w:val="0"/>
          <w:i w:val="0"/>
          <w:color w:val="E6EEF8"/>
        </w:rPr>
        <w:t>Սահմանադրական մակարդակը բարեփոխումը դարձնում է կայուն և կանխատեսելի։</w:t>
      </w:r>
    </w:p>
    <w:p>
      <w:pPr>
        <w:pStyle w:val="ListBullet"/>
        <w:shd w:fill="0F1720"/>
      </w:pPr>
      <w:r>
        <w:rPr>
          <w:rFonts w:ascii="Arial" w:hAnsi="Arial" w:eastAsia="Arial" w:cs="Arial"/>
          <w:b w:val="0"/>
          <w:i w:val="0"/>
          <w:color w:val="E6EEF8"/>
        </w:rPr>
        <w:t>Պետությունը հստակ սահման է ստանում իրավական ինտեգրման և քաղաքական մասնակցության միջև։</w:t>
      </w:r>
    </w:p>
    <w:p>
      <w:pPr>
        <w:pStyle w:val="ListBullet"/>
        <w:shd w:fill="0F1720"/>
      </w:pPr>
      <w:r>
        <w:rPr>
          <w:rFonts w:ascii="Arial" w:hAnsi="Arial" w:eastAsia="Arial" w:cs="Arial"/>
          <w:b w:val="0"/>
          <w:i w:val="0"/>
          <w:color w:val="E6EEF8"/>
        </w:rPr>
        <w:t>Հայաստանն ամրապնդում է վստահությունը իր իրավասության նկատմամբ՝ որպես երկարաժամկետ պաշտպանության և իրավական որոշակիության տարածք։</w:t>
      </w:r>
    </w:p>
    <w:sectPr w:rsidR="00FC693F" w:rsidRPr="0006063C" w:rsidSect="00034616">
      <w:footerReference w:type="default" ns2:id="rId9"/>
      <w:headerReference w:type="default" ns2:id="rId10"/>
      <w:pgSz w:w="11906" w:h="16838"/>
      <w:pgMar w:top="907" w:right="1020" w:bottom="907" w:left="1020" w:header="720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 w:after="0" w:line="240" w:lineRule="auto"/>
      <w:jc w:val="center"/>
      <w:pBdr>
        <w:top w:val="single" w:sz="8" w:space="6" w:color="D4DAE3"/>
      </w:pBdr>
    </w:pPr>
    <w:r>
      <w:rPr>
        <w:rFonts w:ascii="Arial" w:hAnsi="Arial" w:eastAsia="Arial" w:cs="Arial"/>
        <w:color w:val="7B8694"/>
        <w:sz w:val="18"/>
      </w:rPr>
      <w:t>Փաթեթ 02 • Սահմանադրական փաթեթ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10" w:line="276" w:lineRule="auto" w:before="0"/>
    </w:pPr>
    <w:rPr>
      <w:rFonts w:ascii="Arial" w:hAnsi="Arial" w:eastAsia="Arial" w:cs="Arial"/>
      <w:color w:val="222B36"/>
      <w:sz w:val="22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40"/>
      <w:outlineLvl w:val="0"/>
    </w:pPr>
    <w:rPr>
      <w:rFonts w:asciiTheme="majorHAnsi" w:eastAsiaTheme="majorEastAsia" w:hAnsiTheme="majorHAnsi" w:cstheme="majorBidi" w:ascii="Arial" w:hAnsi="Arial" w:eastAsia="Arial" w:cs="Arial"/>
      <w:b/>
      <w:bCs/>
      <w:color w:val="163F6D"/>
      <w:sz w:val="3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 w:ascii="Arial" w:hAnsi="Arial" w:eastAsia="Arial" w:cs="Arial"/>
      <w:b/>
      <w:bCs/>
      <w:color w:val="153D6F"/>
      <w:sz w:val="25"/>
      <w:szCs w:val="26"/>
      <w:lang w:val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Arial" w:hAnsi="Arial" w:eastAsia="Arial" w:cs="Arial"/>
      <w:b/>
      <w:bCs/>
      <w:color w:val="153D6F"/>
      <w:sz w:val="22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40" w:line="252" w:lineRule="auto" w:before="0"/>
      <w:contextualSpacing/>
    </w:pPr>
    <w:rPr>
      <w:rFonts w:asciiTheme="majorHAnsi" w:eastAsiaTheme="majorEastAsia" w:hAnsiTheme="majorHAnsi" w:cstheme="majorBidi" w:ascii="Arial" w:hAnsi="Arial" w:eastAsia="Arial" w:cs="Arial"/>
      <w:b/>
      <w:color w:val="17365D" w:themeColor="text2" w:themeShade="BF"/>
      <w:spacing w:val="5"/>
      <w:kern w:val="28"/>
      <w:sz w:val="44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before="0" w:after="360"/>
    </w:pPr>
    <w:rPr>
      <w:rFonts w:asciiTheme="majorHAnsi" w:eastAsiaTheme="majorEastAsia" w:hAnsiTheme="majorHAnsi" w:cstheme="majorBidi" w:ascii="Arial" w:hAnsi="Arial" w:eastAsia="Arial" w:cs="Arial"/>
      <w:i/>
      <w:iCs/>
      <w:color w:val="4F81BD" w:themeColor="accent1"/>
      <w:spacing w:val="15"/>
      <w:sz w:val="21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line="269" w:lineRule="auto" w:before="0" w:after="100"/>
      <w:ind w:left="720"/>
      <w:contextualSpacing/>
    </w:pPr>
    <w:rPr>
      <w:rFonts w:ascii="Arial" w:hAnsi="Arial" w:eastAsia="Arial" w:cs="Arial"/>
      <w:sz w:val="21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line="276" w:lineRule="auto" w:before="0" w:after="90"/>
      <w:contextualSpacing/>
    </w:pPr>
    <w:rPr>
      <w:rFonts w:ascii="Arial" w:hAnsi="Arial" w:eastAsia="Arial" w:cs="Arial"/>
      <w:color w:val="222B36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