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ns1="http://schemas.openxmlformats.org/markup-compatibility/2006" xmlns:ns2="http://schemas.openxmlformats.org/officeDocument/2006/relationships" xmlns:w="http://schemas.openxmlformats.org/wordprocessingml/2006/main" ns1:Ignorable="w14 wp14">
  <w:body>
    <w:tbl>
      <w:tblPr>
        <w:tblW w:type="auto" w:w="0"/>
        <w:tblLook w:firstColumn="1" w:firstRow="1" w:lastColumn="0" w:lastRow="0" w:noHBand="0" w:noVBand="1" w:val="04A0"/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  <w:tblCellMar>
          <w:top w:w="0" w:type="dxa"/>
          <w:start w:w="0" w:type="dxa"/>
          <w:bottom w:w="0" w:type="dxa"/>
          <w:end w:w="0" w:type="dxa"/>
        </w:tblCellMar>
      </w:tblPr>
      <w:tblGrid>
        <w:gridCol w:w="3289"/>
        <w:gridCol w:w="3289"/>
        <w:gridCol w:w="3289"/>
      </w:tblGrid>
      <w:tr>
        <w:tc>
          <w:tcPr>
            <w:tcW w:type="dxa" w:w="3175"/>
            <w:shd w:fill="D9282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1D56A6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F0A533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110" w:type="dxa"/>
          <w:start w:w="110" w:type="dxa"/>
          <w:bottom w:w="110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153D6F"/>
            <w:vAlign w:val="center"/>
          </w:tcPr>
          <w:p>
            <w:pPr>
              <w:spacing w:after="20" w:before="0" w:line="269" w:lineRule="auto"/>
              <w:jc w:val="left"/>
            </w:pPr>
            <w:r>
              <w:rPr>
                <w:rFonts w:ascii="Arial" w:hAnsi="Arial" w:eastAsia="Arial" w:cs="Arial"/>
                <w:b/>
                <w:i w:val="0"/>
                <w:caps/>
                <w:color w:val="DCE6F2"/>
                <w:sz w:val="23"/>
              </w:rPr>
              <w:t>ՓԱԹԵԹ 03</w:t>
            </w:r>
          </w:p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  <w:sz w:val="31"/>
              </w:rPr>
              <w:t>Հայաստանի Հանրապետության ժամանակավոր քաղաքացիության վերաբերյալ փաթեթ</w:t>
            </w:r>
          </w:p>
          <w:p>
            <w:pPr>
              <w:spacing w:after="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DCE6F2"/>
                <w:sz w:val="23"/>
              </w:rPr>
              <w:t>Եռամյա անցումային կարգավիճակ այն անձանց համար, ովքեր արդեն առնվազն վեց ամիս ապրել են Հայաստանում և հաստատել են երկրի հետ կայուն կապ.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7370"/>
      </w:tblGrid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Ձևաչափ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Օրենքի նախագծի և ներկայացման աջակցություն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Կարգավիճակի ժամկետը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3 տարի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Երթուղի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Սահմանադրական ուղի՝ լիիրավ քաղաքացիության անցնելու իրավունքով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D7DEE7"/>
          <w:left w:val="single" w:sz="5" w:space="0" w:color="D7DEE7"/>
          <w:bottom w:val="single" w:sz="5" w:space="0" w:color="D7DEE7"/>
          <w:right w:val="single" w:sz="5" w:space="0" w:color="D7DEE7"/>
          <w:insideH w:val="single" w:sz="5" w:space="0" w:color="D7DEE7"/>
          <w:insideV w:val="single" w:sz="5" w:space="0" w:color="D7DEE7"/>
        </w:tblBorders>
        <w:tblCellMar>
          <w:top w:w="95" w:type="dxa"/>
          <w:start w:w="110" w:type="dxa"/>
          <w:bottom w:w="95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F4F7FA" w:color="auto" w:val="clear"/>
            <w:vAlign w:val="center"/>
          </w:tcPr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63F6D"/>
                <w:sz w:val="24"/>
              </w:rPr>
              <w:t>Փաթեթի բովանդակությունը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Ստանալու պայմանները և իրավունքների շրջանակը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Ի՞նչ է ստանում Հայաստանը.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Երթուղի դեպի լիարժեք քաղաքացիություն</w:t>
            </w:r>
          </w:p>
        </w:tc>
      </w:tr>
    </w:tbl>
    <w:p>
      <w:r>
        <w:rPr>
          <w:rFonts w:ascii="Arial" w:hAnsi="Arial" w:eastAsia="Arial" w:cs="Arial"/>
        </w:rPr>
        <w:br w:type="page"/>
      </w:r>
      <w:r>
        <w:rPr>
          <w:rFonts w:ascii="Arial" w:hAnsi="Arial" w:eastAsia="Arial" w:cs="Arial"/>
        </w:rPr>
        <w:t>
</w:t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Կարգավիճակի հայեցակարգ</w:t>
      </w:r>
    </w:p>
    <w:p>
      <w:r>
        <w:rPr>
          <w:rFonts w:ascii="Arial" w:hAnsi="Arial" w:eastAsia="Arial" w:cs="Arial"/>
          <w:b w:val="0"/>
          <w:i w:val="0"/>
          <w:color w:val="1F2937"/>
        </w:rPr>
        <w:t>Ժամանակավոր քաղաքացիությունը նախատեսված է այն մարդկանց համար, ովքեր արդեն ապրում են Հայաստանում, աշխատում են, բիզնես են անում, երեխաներ են կրթում, օգտվում են ազգային ենթակառուցվածքներից և արդյունավետորեն ինտեգրված են Հայաստանի իրավասությանը։</w:t>
      </w:r>
    </w:p>
    <w:p>
      <w:r>
        <w:rPr>
          <w:rFonts w:ascii="Arial" w:hAnsi="Arial" w:eastAsia="Arial" w:cs="Arial"/>
          <w:b w:val="0"/>
          <w:i w:val="0"/>
          <w:color w:val="1F2937"/>
        </w:rPr>
        <w:t>Կարգավիճակը նրանց համար ստեղծում է եռամյա կայուն իրավական կապ պետության հետ և վերահսկվող կամուրջ է կազմում դեպի Հայաստանի Հանրապետության լիարժեք քաղաքացիություն։</w:t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Ի՞նչ է ստանում Հայաստանը.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494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Ուղղություն</w:t>
            </w:r>
          </w:p>
        </w:tc>
        <w:tc>
          <w:tcPr>
            <w:tcW w:type="dxa" w:w="7143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Էֆեկտ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Եկամուտ և հարկեր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Եկամուտների, պայմանագրերի և բիզնես գործունեության առավել ամբողջական տեղայնացում Հայաստանի ներսում.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Բիզնես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Թիմերի, ընկերությունների և երկարաժամկետ ներդրումային որոշումների ամրապնդում: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Անձնակազմ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Տաղանդների պահպանում բժշկության, տեխնոլոգիայի, կրթության և սպասարկման տնտեսության մեջ: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Ինտեգրում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Ժամանակավոր ռեժիմից անցում իրավական հաղորդակցության թափանցիկ պետական ​​ուղու.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Ստանալու հիմնական պայմանները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առնվազն վեց ամսվա օրինական բնակություն Հայաստանի Հանրապետությունում.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հաստատված բարեխիղճ կապ Հայաստանի հետ. աշխատանք, բիզնես, կրթություն, բնակարանային, ընտանիք կամ այլ ինտեգրացիոն առանձնահատկություններ.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Հայաստանի Հանրապետության օրենքներին համապատասխանելը և սահմանված ստուգումները անցնելը.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սահմանված կարգով դիմել լիազոր մարմին.</w:t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Ժամանակավոր քաղաքացու իրավունքների շրջանակը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494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Իրավունքներ</w:t>
            </w:r>
          </w:p>
        </w:tc>
        <w:tc>
          <w:tcPr>
            <w:tcW w:type="dxa" w:w="7143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Բովանդակություն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Տեղավորում և վերադարձ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կարգավիճակի տևողությամբ Հայաստանում ապրելու և երկիր անարգել վերադառնալու իրավունք.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Աշխատանք և բիզնես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Աշխատելու, ընկերություններ հիմնելու, հաշիվներ բացելու, պայմանագրեր կնքելու և բիզնես վարելու իրավունք.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Սոցիալական ենթակառուցվածք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Օրենքով սահմանված չափով կրթության, առողջապահության, դատական ​​և վարչական ծառայությունների հասանելիություն: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Անցում լիարժեք քաղաքացիության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Կարգավիճակի ընթացքում օրենքով սահմանված պարզեցված կամ ընդհանուր կարգով լիարժեք քաղաքացիություն ստանալու համար դիմելու իրավունք: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F5F8F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Կարգավիճակի սահմանները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Ժամանակավոր քաղաքացիությունը իրավունք չի տալիս մասնակցելու ընտրություններին և հանրաքվեներին մինչև լիարժեք քաղաքացիություն ձեռք բերելը։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Ստատուսը պահպանում է պետության՝ քայլ առ քայլ ինտեգրվելու հնարավորությունը՝ չփոխելով քաղաքական հավասարակշռությունը։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Անկախ կամ զուգահեռ ռեժիմ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721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Ռեժիմ</w:t>
            </w:r>
          </w:p>
        </w:tc>
        <w:tc>
          <w:tcPr>
            <w:tcW w:type="dxa" w:w="6917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Դիմում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Անկախ վերանայում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Ժամանակավոր քաղաքացիությունը և քաղաքացիությունը կարող են ներկայացվել որպես երկու անկախ նախագծեր։ Պետությունն իրավունք ունի ընտրել դրանցից միայն մեկը՝ որպես հիմնական երթուղի։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Զուգահեռ մեկնարկ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Երկու կարգավիճակները կարող են ընդունվել միաժամանակ՝ քաղաքացիությունը՝ որպես իրավական ինտեգրման ավելի արագ ճանապարհ, ժամանակավոր քաղաքացիությունը՝ որպես լիարժեք քաղաքացիություն տանող անցումային կամուրջ։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Օրենքի նախագիծ. հիմնական հոդվածներ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Գլուխ 1. Ընդհանուր դրույթներ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Հոդված 1. Սույն օրենքը կարգավորում է Հայաստանի Հանրապետության ժամանակավոր քաղաքացիության տրամադրման, գործողության ժամկետի, իրավունքների շրջանակի, փաստաթղթավորման և դադարման հիմքերը: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Հոդված 2. Հայաստանի Հանրապետության ժամանակավոր քաղաքացիությունը անձի և պետության միջև կայուն իրավական կապի հատուկ ձև է, որը տրվում է որոշակի ժամկետով և նախատեսված է լիարժեք քաղաքացիության անցնելու համար։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Գլուխ 2. Ստանալու հիմքերը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Հոդված 3. Դիմելու իրավունք ունի Հայաստանի Հանրապետությունում առնվազն վեց ամիս օրինական բնակություն հաստատած և Հայաստանի հետ կայուն կապ հաստատած անձը։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Հոդված 4. Կայուն կապի չափանիշները որոշվում են՝ հաշվի առնելով աշխատանքային գործունեությունը, ձեռնարկատիրությունը, կրթությունը, ընտանեկան կապերը, բնակարանային, հարկային ներկայությունը և այլ օբյեկտիվ հանգամանքներ։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Գլուխ 3. Իրավունքները և կարգավիճակի տևողությունը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Հոդված 5. Ժամանակավոր քաղաքացիությունը տրվում է երեք տարի ժամկետով։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Հոդված 6. Ժամանակավոր քաղաքացիություն ունեցող անձն ունի բնակության, աշխատանքի, ձեռնարկատիրության, կրթության, առողջապահության, դատական ​​պաշտպանության, փաստաթղթավորման և Հայաստանի Հանրապետություն վերադառնալու իրավունքներ։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Հոդված 7. Ժամանակավոր քաղաքացիություն ունեցող անձն իրավունք ունի կարգավիճակի գործողության ընթացքում դիմել Հայաստանի Հանրապետության լիիրավ քաղաքացիություն ստանալու համար: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Գլուխ 4. Սահմանափակումներ և դադարեցում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Հոդված 8. Ժամանակավոր քաղաքացիությունը չի ապահովում ընտրություններին և հանրաքվեներին մասնակցելու իրավունք մինչև լիարժեք քաղաքացիություն ձեռք բերելը: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Հոդված 9. Կարգավիճակը դադարեցվում է օրենքով սահմանված հիմքերով, այդ թվում՝ Հայաստանի հետ կապի կորստի, կամավոր մերժման և սահմանված այլ դեպքերում: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Իրականացման ուղին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Մոդելի սահմանադրական համախմբում.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Ժամանակավոր քաղաքացիության մասին օրենքի ընդունում.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Ներկայացման, ստուգման և փաստաթղթավորման ընթացակարգերի հաստատում.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Հայտեր ներկայացնելու և հայտատուներին աջակցելու հանրային պատուհանի գործարկում:</w:t>
      </w:r>
    </w:p>
    <w:sectPr w:rsidR="00FC693F" w:rsidRPr="0006063C" w:rsidSect="00034616">
      <w:footerReference w:type="default" ns2:id="rId9"/>
      <w:headerReference w:type="default" ns2:id="rId10"/>
      <w:pgSz w:w="11906" w:h="16838"/>
      <w:pgMar w:top="907" w:right="1020" w:bottom="907" w:left="1020" w:header="72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Փաթեթ 03 • Ժամանակավոր քաղաքացիություն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5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2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